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430059" w:rsidRPr="00430059"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430059" w:rsidRDefault="000A03B2" w:rsidP="00AE3FA7">
            <w:pPr>
              <w:tabs>
                <w:tab w:val="left" w:pos="-108"/>
              </w:tabs>
              <w:ind w:left="-108"/>
              <w:jc w:val="left"/>
              <w:rPr>
                <w:rFonts w:cs="Arial"/>
                <w:b/>
                <w:bCs/>
                <w:i/>
                <w:iCs/>
                <w:sz w:val="12"/>
                <w:szCs w:val="12"/>
                <w:lang w:eastAsia="it-IT"/>
              </w:rPr>
            </w:pPr>
            <w:r w:rsidRPr="00430059">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30059">
              <w:rPr>
                <w:rFonts w:ascii="AdvP6960" w:hAnsi="AdvP6960" w:cs="AdvP6960"/>
                <w:szCs w:val="18"/>
                <w:lang w:eastAsia="it-IT"/>
              </w:rPr>
              <w:t xml:space="preserve"> </w:t>
            </w:r>
            <w:r w:rsidRPr="00430059">
              <w:rPr>
                <w:rFonts w:cs="Arial"/>
                <w:b/>
                <w:bCs/>
                <w:i/>
                <w:iCs/>
                <w:sz w:val="24"/>
                <w:szCs w:val="24"/>
                <w:lang w:eastAsia="it-IT"/>
              </w:rPr>
              <w:t>CHEMICAL ENGINEERING TRANSACTIONS</w:t>
            </w:r>
            <w:r w:rsidRPr="00430059">
              <w:rPr>
                <w:sz w:val="24"/>
                <w:szCs w:val="24"/>
                <w:lang w:eastAsia="it-IT"/>
              </w:rPr>
              <w:t xml:space="preserve"> </w:t>
            </w:r>
            <w:r w:rsidRPr="00430059">
              <w:rPr>
                <w:rFonts w:cs="Arial"/>
                <w:b/>
                <w:bCs/>
                <w:i/>
                <w:iCs/>
                <w:sz w:val="27"/>
                <w:szCs w:val="27"/>
                <w:lang w:eastAsia="it-IT"/>
              </w:rPr>
              <w:br/>
            </w:r>
          </w:p>
          <w:p w14:paraId="4B780582" w14:textId="15DAE12D" w:rsidR="000A03B2" w:rsidRPr="00430059" w:rsidRDefault="00A76EFC" w:rsidP="00AE3FA7">
            <w:pPr>
              <w:tabs>
                <w:tab w:val="left" w:pos="-108"/>
              </w:tabs>
              <w:ind w:left="-108"/>
              <w:rPr>
                <w:rFonts w:cs="Arial"/>
                <w:b/>
                <w:bCs/>
                <w:i/>
                <w:iCs/>
                <w:sz w:val="22"/>
                <w:szCs w:val="22"/>
                <w:lang w:eastAsia="it-IT"/>
              </w:rPr>
            </w:pPr>
            <w:r w:rsidRPr="00430059">
              <w:rPr>
                <w:rFonts w:cs="Arial"/>
                <w:b/>
                <w:bCs/>
                <w:i/>
                <w:iCs/>
                <w:sz w:val="22"/>
                <w:szCs w:val="22"/>
                <w:lang w:eastAsia="it-IT"/>
              </w:rPr>
              <w:t>VOL.</w:t>
            </w:r>
            <w:r w:rsidR="00843EAC" w:rsidRPr="00430059">
              <w:rPr>
                <w:rFonts w:cs="Arial"/>
                <w:b/>
                <w:bCs/>
                <w:i/>
                <w:iCs/>
                <w:sz w:val="22"/>
                <w:szCs w:val="22"/>
                <w:lang w:eastAsia="it-IT"/>
              </w:rPr>
              <w:t xml:space="preserve">    </w:t>
            </w:r>
            <w:r w:rsidR="004761E9" w:rsidRPr="00430059">
              <w:rPr>
                <w:rFonts w:cs="Arial"/>
                <w:b/>
                <w:bCs/>
                <w:i/>
                <w:iCs/>
                <w:sz w:val="22"/>
                <w:szCs w:val="22"/>
                <w:lang w:eastAsia="it-IT"/>
              </w:rPr>
              <w:t xml:space="preserve"> </w:t>
            </w:r>
            <w:r w:rsidR="007B48F9" w:rsidRPr="00430059">
              <w:rPr>
                <w:rFonts w:cs="Arial"/>
                <w:b/>
                <w:bCs/>
                <w:i/>
                <w:iCs/>
                <w:sz w:val="22"/>
                <w:szCs w:val="22"/>
                <w:lang w:eastAsia="it-IT"/>
              </w:rPr>
              <w:t>,</w:t>
            </w:r>
            <w:r w:rsidR="00FA5F5F" w:rsidRPr="00430059">
              <w:rPr>
                <w:rFonts w:cs="Arial"/>
                <w:b/>
                <w:bCs/>
                <w:i/>
                <w:iCs/>
                <w:sz w:val="22"/>
                <w:szCs w:val="22"/>
                <w:lang w:eastAsia="it-IT"/>
              </w:rPr>
              <w:t xml:space="preserve"> </w:t>
            </w:r>
            <w:r w:rsidR="0030152C" w:rsidRPr="00430059">
              <w:rPr>
                <w:rFonts w:cs="Arial"/>
                <w:b/>
                <w:bCs/>
                <w:i/>
                <w:iCs/>
                <w:sz w:val="22"/>
                <w:szCs w:val="22"/>
                <w:lang w:eastAsia="it-IT"/>
              </w:rPr>
              <w:t>202</w:t>
            </w:r>
            <w:r w:rsidR="00DB3233" w:rsidRPr="00430059">
              <w:rPr>
                <w:rFonts w:cs="Arial"/>
                <w:b/>
                <w:bCs/>
                <w:i/>
                <w:iCs/>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430059" w:rsidRDefault="000A03B2" w:rsidP="00AE3FA7">
            <w:pPr>
              <w:spacing w:line="140" w:lineRule="atLeast"/>
              <w:jc w:val="right"/>
              <w:rPr>
                <w:rFonts w:cs="Arial"/>
                <w:sz w:val="14"/>
                <w:szCs w:val="14"/>
              </w:rPr>
            </w:pPr>
            <w:r w:rsidRPr="00430059">
              <w:rPr>
                <w:rFonts w:cs="Arial"/>
                <w:sz w:val="14"/>
                <w:szCs w:val="14"/>
              </w:rPr>
              <w:t>A publication of</w:t>
            </w:r>
          </w:p>
          <w:p w14:paraId="599E5441" w14:textId="77777777" w:rsidR="000A03B2" w:rsidRPr="00430059" w:rsidRDefault="000A03B2" w:rsidP="00AE3FA7">
            <w:pPr>
              <w:jc w:val="right"/>
            </w:pPr>
            <w:r w:rsidRPr="00430059">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430059" w:rsidRPr="00430059" w14:paraId="380FA3CD" w14:textId="77777777" w:rsidTr="00DE264A">
        <w:trPr>
          <w:trHeight w:val="567"/>
          <w:jc w:val="center"/>
        </w:trPr>
        <w:tc>
          <w:tcPr>
            <w:tcW w:w="6946" w:type="dxa"/>
            <w:vMerge/>
            <w:tcBorders>
              <w:right w:val="single" w:sz="4" w:space="0" w:color="auto"/>
            </w:tcBorders>
          </w:tcPr>
          <w:p w14:paraId="39E5E4C1" w14:textId="77777777" w:rsidR="000A03B2" w:rsidRPr="00430059" w:rsidRDefault="000A03B2" w:rsidP="00AE3FA7">
            <w:pPr>
              <w:tabs>
                <w:tab w:val="left" w:pos="-108"/>
              </w:tabs>
            </w:pPr>
          </w:p>
        </w:tc>
        <w:tc>
          <w:tcPr>
            <w:tcW w:w="1843" w:type="dxa"/>
            <w:tcBorders>
              <w:left w:val="single" w:sz="4" w:space="0" w:color="auto"/>
              <w:bottom w:val="nil"/>
              <w:right w:val="single" w:sz="4" w:space="0" w:color="auto"/>
            </w:tcBorders>
          </w:tcPr>
          <w:p w14:paraId="43858A98" w14:textId="77777777" w:rsidR="000A03B2" w:rsidRPr="00430059" w:rsidRDefault="000A03B2" w:rsidP="00AE3FA7">
            <w:pPr>
              <w:spacing w:line="140" w:lineRule="atLeast"/>
              <w:jc w:val="right"/>
              <w:rPr>
                <w:rFonts w:cs="Arial"/>
                <w:sz w:val="14"/>
                <w:szCs w:val="14"/>
              </w:rPr>
            </w:pPr>
            <w:r w:rsidRPr="00430059">
              <w:rPr>
                <w:rFonts w:cs="Arial"/>
                <w:sz w:val="14"/>
                <w:szCs w:val="14"/>
              </w:rPr>
              <w:t>The Italian Association</w:t>
            </w:r>
          </w:p>
          <w:p w14:paraId="7522B1D2" w14:textId="77777777" w:rsidR="000A03B2" w:rsidRPr="00430059" w:rsidRDefault="000A03B2" w:rsidP="00AE3FA7">
            <w:pPr>
              <w:spacing w:line="140" w:lineRule="atLeast"/>
              <w:jc w:val="right"/>
              <w:rPr>
                <w:rFonts w:cs="Arial"/>
                <w:sz w:val="14"/>
                <w:szCs w:val="14"/>
              </w:rPr>
            </w:pPr>
            <w:r w:rsidRPr="00430059">
              <w:rPr>
                <w:rFonts w:cs="Arial"/>
                <w:sz w:val="14"/>
                <w:szCs w:val="14"/>
              </w:rPr>
              <w:t>of Chemical Engineering</w:t>
            </w:r>
          </w:p>
          <w:p w14:paraId="4F0CC5DE" w14:textId="47FDB2FC" w:rsidR="000A03B2" w:rsidRPr="00430059" w:rsidRDefault="000D0268" w:rsidP="00AE3FA7">
            <w:pPr>
              <w:spacing w:line="140" w:lineRule="atLeast"/>
              <w:jc w:val="right"/>
              <w:rPr>
                <w:rFonts w:cs="Arial"/>
                <w:sz w:val="13"/>
                <w:szCs w:val="13"/>
              </w:rPr>
            </w:pPr>
            <w:r w:rsidRPr="00430059">
              <w:rPr>
                <w:rFonts w:cs="Arial"/>
                <w:sz w:val="13"/>
                <w:szCs w:val="13"/>
              </w:rPr>
              <w:t>Online at www.cetjournal.it</w:t>
            </w:r>
          </w:p>
        </w:tc>
      </w:tr>
      <w:tr w:rsidR="00430059" w:rsidRPr="00430059" w14:paraId="2D1B7169" w14:textId="77777777" w:rsidTr="00DE264A">
        <w:trPr>
          <w:trHeight w:val="68"/>
          <w:jc w:val="center"/>
        </w:trPr>
        <w:tc>
          <w:tcPr>
            <w:tcW w:w="8789" w:type="dxa"/>
            <w:gridSpan w:val="2"/>
          </w:tcPr>
          <w:p w14:paraId="1D8DD3C9" w14:textId="475D992A" w:rsidR="00AA7D26" w:rsidRPr="00430059" w:rsidRDefault="00AA7D26" w:rsidP="00AE3FA7">
            <w:pPr>
              <w:ind w:left="-107"/>
              <w:outlineLvl w:val="2"/>
              <w:rPr>
                <w:rFonts w:ascii="Tahoma" w:hAnsi="Tahoma" w:cs="Tahoma"/>
                <w:bCs/>
                <w:sz w:val="14"/>
                <w:szCs w:val="14"/>
                <w:lang w:eastAsia="it-IT"/>
              </w:rPr>
            </w:pPr>
            <w:r w:rsidRPr="00430059">
              <w:rPr>
                <w:rFonts w:ascii="Tahoma" w:hAnsi="Tahoma" w:cs="Tahoma"/>
                <w:iCs/>
                <w:sz w:val="14"/>
                <w:szCs w:val="14"/>
                <w:lang w:eastAsia="it-IT"/>
              </w:rPr>
              <w:t>Guest Editors:</w:t>
            </w:r>
            <w:r w:rsidRPr="00430059">
              <w:rPr>
                <w:rFonts w:ascii="Tahoma" w:hAnsi="Tahoma" w:cs="Tahoma"/>
                <w:sz w:val="14"/>
                <w:szCs w:val="14"/>
                <w:shd w:val="clear" w:color="auto" w:fill="FFFFFF"/>
              </w:rPr>
              <w:t xml:space="preserve"> </w:t>
            </w:r>
            <w:r w:rsidR="006A23E9" w:rsidRPr="00430059">
              <w:rPr>
                <w:rFonts w:ascii="Tahoma" w:hAnsi="Tahoma" w:cs="Tahoma"/>
                <w:sz w:val="14"/>
                <w:szCs w:val="14"/>
                <w:shd w:val="clear" w:color="auto" w:fill="FFFFFF"/>
              </w:rPr>
              <w:t xml:space="preserve">Leonardo </w:t>
            </w:r>
            <w:proofErr w:type="spellStart"/>
            <w:r w:rsidR="006A23E9" w:rsidRPr="00430059">
              <w:rPr>
                <w:rFonts w:ascii="Tahoma" w:hAnsi="Tahoma" w:cs="Tahoma"/>
                <w:sz w:val="14"/>
                <w:szCs w:val="14"/>
                <w:shd w:val="clear" w:color="auto" w:fill="FFFFFF"/>
              </w:rPr>
              <w:t>Tognotti</w:t>
            </w:r>
            <w:proofErr w:type="spellEnd"/>
            <w:r w:rsidR="006A23E9" w:rsidRPr="00430059">
              <w:rPr>
                <w:rFonts w:ascii="Tahoma" w:hAnsi="Tahoma" w:cs="Tahoma"/>
                <w:sz w:val="14"/>
                <w:szCs w:val="14"/>
                <w:shd w:val="clear" w:color="auto" w:fill="FFFFFF"/>
              </w:rPr>
              <w:t xml:space="preserve">, </w:t>
            </w:r>
            <w:r w:rsidR="006A23E9" w:rsidRPr="00430059">
              <w:rPr>
                <w:rFonts w:ascii="Tahoma" w:hAnsi="Tahoma" w:cs="Tahoma"/>
                <w:sz w:val="14"/>
                <w:szCs w:val="14"/>
              </w:rPr>
              <w:t>Rubens Maciel Filho</w:t>
            </w:r>
            <w:r w:rsidR="006A23E9" w:rsidRPr="00430059">
              <w:rPr>
                <w:rFonts w:ascii="Tahoma" w:hAnsi="Tahoma" w:cs="Tahoma"/>
                <w:sz w:val="14"/>
                <w:szCs w:val="14"/>
                <w:shd w:val="clear" w:color="auto" w:fill="FFFFFF"/>
              </w:rPr>
              <w:t xml:space="preserve">, </w:t>
            </w:r>
            <w:r w:rsidR="006A23E9" w:rsidRPr="00430059">
              <w:rPr>
                <w:rFonts w:ascii="Tahoma" w:hAnsi="Tahoma" w:cs="Tahoma"/>
                <w:sz w:val="14"/>
                <w:szCs w:val="14"/>
              </w:rPr>
              <w:t xml:space="preserve">Viatcheslav </w:t>
            </w:r>
            <w:proofErr w:type="spellStart"/>
            <w:r w:rsidR="006A23E9" w:rsidRPr="00430059">
              <w:rPr>
                <w:rFonts w:ascii="Tahoma" w:hAnsi="Tahoma" w:cs="Tahoma"/>
                <w:sz w:val="14"/>
                <w:szCs w:val="14"/>
              </w:rPr>
              <w:t>Kafarov</w:t>
            </w:r>
            <w:proofErr w:type="spellEnd"/>
          </w:p>
          <w:p w14:paraId="1B0F1814" w14:textId="3AD74145" w:rsidR="000A03B2" w:rsidRPr="00430059" w:rsidRDefault="00AA7D26" w:rsidP="00AE3FA7">
            <w:pPr>
              <w:tabs>
                <w:tab w:val="left" w:pos="-108"/>
              </w:tabs>
              <w:spacing w:line="140" w:lineRule="atLeast"/>
              <w:ind w:left="-107"/>
              <w:jc w:val="left"/>
            </w:pPr>
            <w:r w:rsidRPr="00430059">
              <w:rPr>
                <w:rFonts w:ascii="Tahoma" w:hAnsi="Tahoma" w:cs="Tahoma"/>
                <w:iCs/>
                <w:sz w:val="14"/>
                <w:szCs w:val="14"/>
                <w:lang w:eastAsia="it-IT"/>
              </w:rPr>
              <w:t>Copyright © 202</w:t>
            </w:r>
            <w:r w:rsidR="00843EAC" w:rsidRPr="00430059">
              <w:rPr>
                <w:rFonts w:ascii="Tahoma" w:hAnsi="Tahoma" w:cs="Tahoma"/>
                <w:iCs/>
                <w:sz w:val="14"/>
                <w:szCs w:val="14"/>
                <w:lang w:eastAsia="it-IT"/>
              </w:rPr>
              <w:t>4</w:t>
            </w:r>
            <w:r w:rsidRPr="00430059">
              <w:rPr>
                <w:rFonts w:ascii="Tahoma" w:hAnsi="Tahoma" w:cs="Tahoma"/>
                <w:iCs/>
                <w:sz w:val="14"/>
                <w:szCs w:val="14"/>
                <w:lang w:eastAsia="it-IT"/>
              </w:rPr>
              <w:t xml:space="preserve">, AIDIC </w:t>
            </w:r>
            <w:proofErr w:type="spellStart"/>
            <w:r w:rsidRPr="00430059">
              <w:rPr>
                <w:rFonts w:ascii="Tahoma" w:hAnsi="Tahoma" w:cs="Tahoma"/>
                <w:iCs/>
                <w:sz w:val="14"/>
                <w:szCs w:val="14"/>
                <w:lang w:eastAsia="it-IT"/>
              </w:rPr>
              <w:t>Servizi</w:t>
            </w:r>
            <w:proofErr w:type="spellEnd"/>
            <w:r w:rsidRPr="00430059">
              <w:rPr>
                <w:rFonts w:ascii="Tahoma" w:hAnsi="Tahoma" w:cs="Tahoma"/>
                <w:iCs/>
                <w:sz w:val="14"/>
                <w:szCs w:val="14"/>
                <w:lang w:eastAsia="it-IT"/>
              </w:rPr>
              <w:t xml:space="preserve"> </w:t>
            </w:r>
            <w:proofErr w:type="spellStart"/>
            <w:r w:rsidRPr="00430059">
              <w:rPr>
                <w:rFonts w:ascii="Tahoma" w:hAnsi="Tahoma" w:cs="Tahoma"/>
                <w:iCs/>
                <w:sz w:val="14"/>
                <w:szCs w:val="14"/>
                <w:lang w:eastAsia="it-IT"/>
              </w:rPr>
              <w:t>S.r.l</w:t>
            </w:r>
            <w:proofErr w:type="spellEnd"/>
            <w:r w:rsidRPr="00430059">
              <w:rPr>
                <w:rFonts w:ascii="Tahoma" w:hAnsi="Tahoma" w:cs="Tahoma"/>
                <w:iCs/>
                <w:sz w:val="14"/>
                <w:szCs w:val="14"/>
                <w:lang w:eastAsia="it-IT"/>
              </w:rPr>
              <w:t>.</w:t>
            </w:r>
            <w:r w:rsidRPr="00430059">
              <w:rPr>
                <w:rFonts w:ascii="Tahoma" w:hAnsi="Tahoma" w:cs="Tahoma"/>
                <w:iCs/>
                <w:sz w:val="14"/>
                <w:szCs w:val="14"/>
                <w:lang w:eastAsia="it-IT"/>
              </w:rPr>
              <w:br/>
            </w:r>
            <w:r w:rsidRPr="00430059">
              <w:rPr>
                <w:rFonts w:ascii="Tahoma" w:hAnsi="Tahoma" w:cs="Tahoma"/>
                <w:b/>
                <w:iCs/>
                <w:sz w:val="14"/>
                <w:szCs w:val="14"/>
                <w:lang w:eastAsia="it-IT"/>
              </w:rPr>
              <w:t>ISBN</w:t>
            </w:r>
            <w:r w:rsidRPr="00430059">
              <w:rPr>
                <w:rFonts w:ascii="Tahoma" w:hAnsi="Tahoma" w:cs="Tahoma"/>
                <w:iCs/>
                <w:sz w:val="14"/>
                <w:szCs w:val="14"/>
                <w:lang w:eastAsia="it-IT"/>
              </w:rPr>
              <w:t xml:space="preserve"> </w:t>
            </w:r>
            <w:r w:rsidR="008B7C03" w:rsidRPr="00430059">
              <w:rPr>
                <w:rFonts w:ascii="Tahoma" w:hAnsi="Tahoma" w:cs="Tahoma"/>
                <w:sz w:val="14"/>
                <w:szCs w:val="14"/>
              </w:rPr>
              <w:t>979-12-81206</w:t>
            </w:r>
            <w:r w:rsidRPr="00430059">
              <w:rPr>
                <w:rFonts w:ascii="Tahoma" w:hAnsi="Tahoma" w:cs="Tahoma"/>
                <w:sz w:val="14"/>
                <w:szCs w:val="14"/>
              </w:rPr>
              <w:t>-</w:t>
            </w:r>
            <w:r w:rsidR="00DB3233" w:rsidRPr="00430059">
              <w:rPr>
                <w:rFonts w:ascii="Tahoma" w:hAnsi="Tahoma" w:cs="Tahoma"/>
                <w:sz w:val="14"/>
                <w:szCs w:val="14"/>
              </w:rPr>
              <w:t>09</w:t>
            </w:r>
            <w:r w:rsidRPr="00430059">
              <w:rPr>
                <w:rFonts w:ascii="Tahoma" w:hAnsi="Tahoma" w:cs="Tahoma"/>
                <w:sz w:val="14"/>
                <w:szCs w:val="14"/>
              </w:rPr>
              <w:t>-</w:t>
            </w:r>
            <w:r w:rsidR="00DB3233" w:rsidRPr="00430059">
              <w:rPr>
                <w:rFonts w:ascii="Tahoma" w:hAnsi="Tahoma" w:cs="Tahoma"/>
                <w:sz w:val="14"/>
                <w:szCs w:val="14"/>
              </w:rPr>
              <w:t>0</w:t>
            </w:r>
            <w:r w:rsidRPr="00430059">
              <w:rPr>
                <w:rFonts w:ascii="Tahoma" w:hAnsi="Tahoma" w:cs="Tahoma"/>
                <w:iCs/>
                <w:sz w:val="14"/>
                <w:szCs w:val="14"/>
                <w:lang w:eastAsia="it-IT"/>
              </w:rPr>
              <w:t xml:space="preserve">; </w:t>
            </w:r>
            <w:r w:rsidRPr="00430059">
              <w:rPr>
                <w:rFonts w:ascii="Tahoma" w:hAnsi="Tahoma" w:cs="Tahoma"/>
                <w:b/>
                <w:iCs/>
                <w:sz w:val="14"/>
                <w:szCs w:val="14"/>
                <w:lang w:eastAsia="it-IT"/>
              </w:rPr>
              <w:t>ISSN</w:t>
            </w:r>
            <w:r w:rsidRPr="00430059">
              <w:rPr>
                <w:rFonts w:ascii="Tahoma" w:hAnsi="Tahoma" w:cs="Tahoma"/>
                <w:iCs/>
                <w:sz w:val="14"/>
                <w:szCs w:val="14"/>
                <w:lang w:eastAsia="it-IT"/>
              </w:rPr>
              <w:t xml:space="preserve"> 2283-9216</w:t>
            </w:r>
          </w:p>
        </w:tc>
      </w:tr>
    </w:tbl>
    <w:p w14:paraId="2E667253" w14:textId="072B0E52" w:rsidR="00E978D0" w:rsidRPr="00430059" w:rsidRDefault="00566502" w:rsidP="00AE3FA7">
      <w:pPr>
        <w:pStyle w:val="CETTitle"/>
      </w:pPr>
      <w:r w:rsidRPr="00430059">
        <w:t>Estimation of poultry litter and its biochar production potential through pyrolysis in Qatar</w:t>
      </w:r>
    </w:p>
    <w:p w14:paraId="182AA1D8" w14:textId="514803CA" w:rsidR="00566502" w:rsidRPr="00430059" w:rsidRDefault="00566502" w:rsidP="00AE3FA7">
      <w:pPr>
        <w:pStyle w:val="CETAuthors"/>
      </w:pPr>
      <w:r w:rsidRPr="00430059">
        <w:t>Prakash Parthasarathy</w:t>
      </w:r>
      <w:r w:rsidR="00B57E6F" w:rsidRPr="00430059">
        <w:rPr>
          <w:vertAlign w:val="superscript"/>
        </w:rPr>
        <w:t>a</w:t>
      </w:r>
      <w:r w:rsidRPr="00430059">
        <w:t>*</w:t>
      </w:r>
      <w:r w:rsidR="00B57E6F" w:rsidRPr="00430059">
        <w:t xml:space="preserve">, </w:t>
      </w:r>
      <w:r w:rsidRPr="00430059">
        <w:t>Mohammad Alherbawi</w:t>
      </w:r>
      <w:r w:rsidRPr="00430059">
        <w:rPr>
          <w:vertAlign w:val="superscript"/>
        </w:rPr>
        <w:t>a</w:t>
      </w:r>
      <w:r w:rsidRPr="00430059">
        <w:t>, Snigdhendubala Pradhan</w:t>
      </w:r>
      <w:r w:rsidRPr="00430059">
        <w:rPr>
          <w:vertAlign w:val="superscript"/>
        </w:rPr>
        <w:t>a</w:t>
      </w:r>
      <w:r w:rsidRPr="00430059">
        <w:t>, Tareq Al-Ansari</w:t>
      </w:r>
      <w:r w:rsidRPr="00430059">
        <w:rPr>
          <w:vertAlign w:val="superscript"/>
        </w:rPr>
        <w:t>a</w:t>
      </w:r>
      <w:r w:rsidRPr="00430059">
        <w:t>, Gordon McKay</w:t>
      </w:r>
      <w:r w:rsidRPr="00430059">
        <w:rPr>
          <w:vertAlign w:val="superscript"/>
        </w:rPr>
        <w:t>a</w:t>
      </w:r>
      <w:r w:rsidR="00235AF7" w:rsidRPr="00430059">
        <w:t>*</w:t>
      </w:r>
    </w:p>
    <w:p w14:paraId="0C2BCD40" w14:textId="43C460F9" w:rsidR="00235AF7" w:rsidRPr="00430059" w:rsidRDefault="00B57E6F" w:rsidP="00AE3FA7">
      <w:pPr>
        <w:pStyle w:val="CETAddress"/>
        <w:jc w:val="both"/>
      </w:pPr>
      <w:r w:rsidRPr="00430059">
        <w:rPr>
          <w:vertAlign w:val="superscript"/>
        </w:rPr>
        <w:t>a</w:t>
      </w:r>
      <w:r w:rsidR="00566502" w:rsidRPr="00430059">
        <w:t>Division of Sustainable Development, College of Science and Engineering, Hamad Bin Khalifa University, Qatar Foundation, Doha, Qatar.</w:t>
      </w:r>
    </w:p>
    <w:p w14:paraId="73F1267A" w14:textId="0300D1F8" w:rsidR="00B57E6F" w:rsidRPr="00430059" w:rsidRDefault="00000000" w:rsidP="00AE3FA7">
      <w:pPr>
        <w:pStyle w:val="CETemail"/>
      </w:pPr>
      <w:hyperlink r:id="rId10" w:history="1">
        <w:r w:rsidR="00AE3FA7" w:rsidRPr="00430059">
          <w:rPr>
            <w:rStyle w:val="Hyperlink"/>
            <w:color w:val="auto"/>
          </w:rPr>
          <w:t>pparthasarathy@hbku.edu.qa</w:t>
        </w:r>
      </w:hyperlink>
      <w:r w:rsidR="00AE3FA7" w:rsidRPr="00430059">
        <w:t xml:space="preserve">; </w:t>
      </w:r>
      <w:hyperlink r:id="rId11" w:history="1">
        <w:r w:rsidR="00235AF7" w:rsidRPr="00430059">
          <w:rPr>
            <w:rStyle w:val="Hyperlink"/>
            <w:color w:val="auto"/>
          </w:rPr>
          <w:t>gmckay@hbku.edu.qa</w:t>
        </w:r>
      </w:hyperlink>
      <w:r w:rsidR="00235AF7" w:rsidRPr="00430059">
        <w:t xml:space="preserve"> </w:t>
      </w:r>
    </w:p>
    <w:p w14:paraId="3311AA46" w14:textId="3C0D0BFE" w:rsidR="00235AF7" w:rsidRPr="00430059" w:rsidRDefault="00235AF7" w:rsidP="00AE3FA7">
      <w:pPr>
        <w:pStyle w:val="CETBodytext"/>
        <w:rPr>
          <w:lang w:val="en-GB"/>
        </w:rPr>
      </w:pPr>
      <w:r w:rsidRPr="00430059">
        <w:rPr>
          <w:lang w:val="en-GB"/>
        </w:rPr>
        <w:t xml:space="preserve">One of the primary sources of waste in Qatar is animal waste, which includes poultry litter. Annually, Qatar produces approximately 0.83 </w:t>
      </w:r>
      <w:r w:rsidR="003728E1" w:rsidRPr="00430059">
        <w:t>x 10</w:t>
      </w:r>
      <w:r w:rsidR="003728E1" w:rsidRPr="00430059">
        <w:rPr>
          <w:vertAlign w:val="superscript"/>
        </w:rPr>
        <w:t>6</w:t>
      </w:r>
      <w:r w:rsidR="003728E1" w:rsidRPr="00430059">
        <w:rPr>
          <w:rFonts w:cs="Arial"/>
          <w:szCs w:val="18"/>
          <w:lang w:eastAsia="en-GB"/>
        </w:rPr>
        <w:t xml:space="preserve"> </w:t>
      </w:r>
      <w:r w:rsidR="003728E1" w:rsidRPr="00430059">
        <w:rPr>
          <w:rFonts w:cs="Arial"/>
          <w:szCs w:val="18"/>
          <w:lang w:eastAsia="en-GB"/>
        </w:rPr>
        <w:t>t</w:t>
      </w:r>
      <w:r w:rsidRPr="00430059">
        <w:rPr>
          <w:lang w:val="en-GB"/>
        </w:rPr>
        <w:t xml:space="preserve"> of poultry litter. Consequently, there is a need for a more sustainable waste treatment approach to handle it. Hence, this study's principal objective is to investigate the suitability of poultry litter as a feedstock for pyrolysis, with a specific emphasis on its potential for biochar generation. The physicochemical evaluations of poultry litter were performed. The potential for biochar formation from poultry litter was assessed using empirical equations at two different pyrolysis temperatures, namely 250</w:t>
      </w:r>
      <w:r w:rsidR="00EE0B89" w:rsidRPr="00430059">
        <w:rPr>
          <w:lang w:val="en-GB"/>
        </w:rPr>
        <w:t xml:space="preserve"> °C</w:t>
      </w:r>
      <w:r w:rsidRPr="00430059">
        <w:rPr>
          <w:lang w:val="en-GB"/>
        </w:rPr>
        <w:t xml:space="preserve"> and 500</w:t>
      </w:r>
      <w:r w:rsidR="00EE0B89" w:rsidRPr="00430059">
        <w:rPr>
          <w:lang w:val="en-GB"/>
        </w:rPr>
        <w:t xml:space="preserve"> °C</w:t>
      </w:r>
      <w:r w:rsidRPr="00430059">
        <w:rPr>
          <w:lang w:val="en-GB"/>
        </w:rPr>
        <w:t>. Additionally, an economic analysis was conducted in order to ascertain the potential revenue generated by biochar derived from poultry litter. The composition of poultry litter, characterised by a moderate volatile content of 60</w:t>
      </w:r>
      <w:r w:rsidR="00EE0B89" w:rsidRPr="00430059">
        <w:rPr>
          <w:lang w:val="en-GB"/>
        </w:rPr>
        <w:t xml:space="preserve"> %</w:t>
      </w:r>
      <w:r w:rsidRPr="00430059">
        <w:rPr>
          <w:lang w:val="en-GB"/>
        </w:rPr>
        <w:t xml:space="preserve"> and a fixed carbon content of 16</w:t>
      </w:r>
      <w:r w:rsidR="00EE0B89" w:rsidRPr="00430059">
        <w:rPr>
          <w:lang w:val="en-GB"/>
        </w:rPr>
        <w:t xml:space="preserve"> %</w:t>
      </w:r>
      <w:r w:rsidRPr="00430059">
        <w:rPr>
          <w:lang w:val="en-GB"/>
        </w:rPr>
        <w:t xml:space="preserve">, along with a moderate </w:t>
      </w:r>
      <w:r w:rsidR="00E72291" w:rsidRPr="00430059">
        <w:rPr>
          <w:lang w:val="en-GB"/>
        </w:rPr>
        <w:t xml:space="preserve">higher </w:t>
      </w:r>
      <w:r w:rsidRPr="00430059">
        <w:rPr>
          <w:lang w:val="en-GB"/>
        </w:rPr>
        <w:t>heating value</w:t>
      </w:r>
      <w:r w:rsidR="00E72291" w:rsidRPr="00430059">
        <w:rPr>
          <w:lang w:val="en-GB"/>
        </w:rPr>
        <w:t xml:space="preserve"> (HHV)</w:t>
      </w:r>
      <w:r w:rsidRPr="00430059">
        <w:rPr>
          <w:lang w:val="en-GB"/>
        </w:rPr>
        <w:t xml:space="preserve"> of 16 MJ/kg, indicates its potential suitability as a highly suitable feedstock material for biochar generation through pyrolysis. According to the findings of the technical analysis, biochar yields of up to 50</w:t>
      </w:r>
      <w:r w:rsidR="00EE0B89" w:rsidRPr="00430059">
        <w:rPr>
          <w:lang w:val="en-GB"/>
        </w:rPr>
        <w:t xml:space="preserve"> %</w:t>
      </w:r>
      <w:r w:rsidRPr="00430059">
        <w:rPr>
          <w:lang w:val="en-GB"/>
        </w:rPr>
        <w:t xml:space="preserve"> and 31</w:t>
      </w:r>
      <w:r w:rsidR="00EE0B89" w:rsidRPr="00430059">
        <w:rPr>
          <w:lang w:val="en-GB"/>
        </w:rPr>
        <w:t xml:space="preserve"> %</w:t>
      </w:r>
      <w:r w:rsidRPr="00430059">
        <w:rPr>
          <w:lang w:val="en-GB"/>
        </w:rPr>
        <w:t xml:space="preserve"> can potentially be achieved at 250</w:t>
      </w:r>
      <w:r w:rsidR="00EE0B89" w:rsidRPr="00430059">
        <w:rPr>
          <w:lang w:val="en-GB"/>
        </w:rPr>
        <w:t xml:space="preserve"> °C</w:t>
      </w:r>
      <w:r w:rsidRPr="00430059">
        <w:rPr>
          <w:lang w:val="en-GB"/>
        </w:rPr>
        <w:t xml:space="preserve"> and 500</w:t>
      </w:r>
      <w:r w:rsidR="00EE0B89" w:rsidRPr="00430059">
        <w:rPr>
          <w:lang w:val="en-GB"/>
        </w:rPr>
        <w:t xml:space="preserve"> °C</w:t>
      </w:r>
      <w:r w:rsidRPr="00430059">
        <w:rPr>
          <w:lang w:val="en-GB"/>
        </w:rPr>
        <w:t xml:space="preserve">, respectively. Moreover, the findings of the study indicate that Qatar has the capacity to generate up to 0.35 </w:t>
      </w:r>
      <w:r w:rsidR="003728E1" w:rsidRPr="00430059">
        <w:t>x 10</w:t>
      </w:r>
      <w:r w:rsidR="003728E1" w:rsidRPr="00430059">
        <w:rPr>
          <w:vertAlign w:val="superscript"/>
        </w:rPr>
        <w:t>6</w:t>
      </w:r>
      <w:r w:rsidR="003728E1" w:rsidRPr="00430059">
        <w:rPr>
          <w:rFonts w:cs="Arial"/>
          <w:szCs w:val="18"/>
          <w:lang w:eastAsia="en-GB"/>
        </w:rPr>
        <w:t xml:space="preserve"> </w:t>
      </w:r>
      <w:r w:rsidR="003728E1" w:rsidRPr="00430059">
        <w:rPr>
          <w:rFonts w:cs="Arial"/>
          <w:szCs w:val="18"/>
          <w:lang w:eastAsia="en-GB"/>
        </w:rPr>
        <w:t>t</w:t>
      </w:r>
      <w:r w:rsidRPr="00430059">
        <w:rPr>
          <w:lang w:val="en-GB"/>
        </w:rPr>
        <w:t xml:space="preserve"> of biochar annually from its poultry litter. Additionally, the economic analysis suggests that the country </w:t>
      </w:r>
      <w:r w:rsidR="008F2D38" w:rsidRPr="00430059">
        <w:rPr>
          <w:lang w:val="en-GB"/>
        </w:rPr>
        <w:t>can</w:t>
      </w:r>
      <w:r w:rsidRPr="00430059">
        <w:rPr>
          <w:lang w:val="en-GB"/>
        </w:rPr>
        <w:t xml:space="preserve"> generate annual revenue of about 69 </w:t>
      </w:r>
      <w:r w:rsidR="003728E1" w:rsidRPr="00430059">
        <w:t>x 10</w:t>
      </w:r>
      <w:r w:rsidR="003728E1" w:rsidRPr="00430059">
        <w:rPr>
          <w:vertAlign w:val="superscript"/>
        </w:rPr>
        <w:t>6</w:t>
      </w:r>
      <w:r w:rsidR="003728E1" w:rsidRPr="00430059">
        <w:rPr>
          <w:rFonts w:cs="Arial"/>
          <w:szCs w:val="18"/>
          <w:lang w:eastAsia="en-GB"/>
        </w:rPr>
        <w:t xml:space="preserve"> </w:t>
      </w:r>
      <w:r w:rsidRPr="00430059">
        <w:rPr>
          <w:lang w:val="en-GB"/>
        </w:rPr>
        <w:t xml:space="preserve">USD from the selling of biochar. </w:t>
      </w:r>
    </w:p>
    <w:p w14:paraId="476B2F2E" w14:textId="77777777" w:rsidR="00600535" w:rsidRPr="00430059" w:rsidRDefault="00600535" w:rsidP="00AE3FA7">
      <w:pPr>
        <w:pStyle w:val="CETHeading1"/>
        <w:rPr>
          <w:lang w:val="en-GB"/>
        </w:rPr>
      </w:pPr>
      <w:r w:rsidRPr="00430059">
        <w:rPr>
          <w:lang w:val="en-GB"/>
        </w:rPr>
        <w:t>Introduction</w:t>
      </w:r>
    </w:p>
    <w:p w14:paraId="37666EFA" w14:textId="06110251" w:rsidR="00235AF7" w:rsidRPr="00430059" w:rsidRDefault="00235AF7" w:rsidP="00AE3FA7">
      <w:pPr>
        <w:pStyle w:val="CETBodytext"/>
        <w:rPr>
          <w:lang w:val="en-GB"/>
        </w:rPr>
      </w:pPr>
      <w:r w:rsidRPr="00430059">
        <w:rPr>
          <w:lang w:val="en-GB"/>
        </w:rPr>
        <w:t xml:space="preserve">Biochar includes carbon and plant nutrients that can be utilised to enhance nutrient-poor plants and restore depleted soil. Biochar additions have been demonstrated to impact the chemical, physical, and biological components of soil. </w:t>
      </w:r>
      <w:r w:rsidR="00926DA0" w:rsidRPr="00430059">
        <w:rPr>
          <w:lang w:val="en-GB"/>
        </w:rPr>
        <w:t>On the other hand, w</w:t>
      </w:r>
      <w:r w:rsidRPr="00430059">
        <w:rPr>
          <w:lang w:val="en-GB"/>
        </w:rPr>
        <w:t>orldwide population growth, economic expansion, and moderni</w:t>
      </w:r>
      <w:r w:rsidR="00926DA0" w:rsidRPr="00430059">
        <w:rPr>
          <w:lang w:val="en-GB"/>
        </w:rPr>
        <w:t>s</w:t>
      </w:r>
      <w:r w:rsidRPr="00430059">
        <w:rPr>
          <w:lang w:val="en-GB"/>
        </w:rPr>
        <w:t xml:space="preserve">ation are all leading to a rise in worldwide waste production, with Qatar being no exception. Primary waste sources in Qatar include municipal solid waste (MSW) and animal waste such as dairy manure, sheep manure, and poultry </w:t>
      </w:r>
      <w:r w:rsidRPr="00430059">
        <w:rPr>
          <w:szCs w:val="18"/>
          <w:lang w:val="en-GB"/>
        </w:rPr>
        <w:t>litter. Compared to MSW, animal manures contain high levels of nutrients and low levels of heavy metals. Further, animal manures have moderate levels of carbon and volatile content, making them appropriate for use as sources of fuel</w:t>
      </w:r>
      <w:r w:rsidRPr="00430059">
        <w:rPr>
          <w:lang w:val="en-GB"/>
        </w:rPr>
        <w:t xml:space="preserve"> and for the production of biochar. Qatar's increasing arable land requires sustainable natural soil conditioners such as biochar.</w:t>
      </w:r>
    </w:p>
    <w:p w14:paraId="255CCE27" w14:textId="38309541" w:rsidR="00235AF7" w:rsidRPr="00430059" w:rsidRDefault="00235AF7" w:rsidP="00AE3FA7">
      <w:pPr>
        <w:pStyle w:val="CETBodytext"/>
        <w:rPr>
          <w:szCs w:val="18"/>
          <w:lang w:val="en-GB"/>
        </w:rPr>
      </w:pPr>
      <w:r w:rsidRPr="00430059">
        <w:rPr>
          <w:lang w:val="en-GB"/>
        </w:rPr>
        <w:t>This study explores the possibility of biochar production from poultry litter because of the abundant availability of poultry litter in Qatar. The litter is primarily composed of organic carbon, with traces of nitrogen, phosphorus, potassium, magnesium, calcium</w:t>
      </w:r>
      <w:r w:rsidRPr="00430059">
        <w:rPr>
          <w:szCs w:val="18"/>
          <w:lang w:val="en-GB"/>
        </w:rPr>
        <w:t>, sulphur, iron, and manganese. Traditionally, it is employed as a fertilizer as such, while the dried litter is utilised as a fuel. Recently</w:t>
      </w:r>
      <w:r w:rsidRPr="00430059">
        <w:rPr>
          <w:lang w:val="en-GB"/>
        </w:rPr>
        <w:t>, it has been used to produce syngas, biochar, activated carbon, and other products.</w:t>
      </w:r>
      <w:r w:rsidR="003520AC" w:rsidRPr="00430059">
        <w:rPr>
          <w:lang w:val="en-GB"/>
        </w:rPr>
        <w:t xml:space="preserve"> </w:t>
      </w:r>
      <w:r w:rsidRPr="00430059">
        <w:rPr>
          <w:lang w:val="en-GB"/>
        </w:rPr>
        <w:t xml:space="preserve">The production of biochar from poultry litter is accomplished using pyrolysis, a process that involves heating dry litter </w:t>
      </w:r>
      <w:r w:rsidRPr="00430059">
        <w:rPr>
          <w:szCs w:val="18"/>
          <w:lang w:val="en-GB"/>
        </w:rPr>
        <w:t>between 250 and 600</w:t>
      </w:r>
      <w:r w:rsidR="00EE0B89" w:rsidRPr="00430059">
        <w:rPr>
          <w:szCs w:val="18"/>
          <w:lang w:val="en-GB"/>
        </w:rPr>
        <w:t xml:space="preserve"> °C</w:t>
      </w:r>
      <w:r w:rsidRPr="00430059">
        <w:rPr>
          <w:szCs w:val="18"/>
          <w:lang w:val="en-GB"/>
        </w:rPr>
        <w:t xml:space="preserve"> in an oxygen-deficient environment with modest heating rates and extended residence time </w:t>
      </w:r>
      <w:r w:rsidR="005F57BD" w:rsidRPr="00430059">
        <w:rPr>
          <w:rFonts w:cs="Arial"/>
          <w:szCs w:val="18"/>
          <w:shd w:val="clear" w:color="auto" w:fill="FFFFFF"/>
        </w:rPr>
        <w:fldChar w:fldCharType="begin" w:fldLock="1"/>
      </w:r>
      <w:r w:rsidR="00ED03DB" w:rsidRPr="00430059">
        <w:rPr>
          <w:rFonts w:cs="Arial"/>
          <w:szCs w:val="18"/>
          <w:shd w:val="clear" w:color="auto" w:fill="FFFFFF"/>
        </w:rPr>
        <w:instrText>ADDIN CSL_CITATION {"citationItems":[{"id":"ITEM-1","itemData":{"DOI":"10.1007/S13399-022-02441-0/FIGURES/9","ISSN":"21906823","abstract":"The amount of food waste that is generated all over the world is enormous. As food wastes are rich in nutrients and organics, they serve as a potential source for the generation of many value-added commodities and energy. In most countries, food wastes are predominately dumped in open lands or incinerated, along with other combustible materials such as municipal solid wastes, for the possible extraction of energy. However, these two modes of food wastes disposal are encountering more and more environmental, technical, and economical challenges. More recently, it has been realized that food wastes can be transformed into energy and value-added products, such as horticultural biochars, using thermochemical technologies such as pyrolysis and gasification. In the current research work, three selected food items, carrots, cucumbers, and tomatoes, have been studied using thermogravimetric analysis. The biochar analysis involves one single food item (carrot), one binary mixture (carrot + cucumber), and one ternary blend of carrot, cucumber, and tomato. Two heating rates were used in order to perform kinetic modeling studies using the Arrhenius and Coats-Redfern models. Since the production of the pyrolysis gases—for energy and chemicals production—is of major economic significance regarding the overall process viability, the TGA syngas for a single component, binary component and tertiary component systems were analyzed by TGA coupled mass spectrometry. The results of the gas analysis indicate an increase in hydrogen generation due to blending the food wastes.","author":[{"dropping-particle":"","family":"Elkhalifa","given":"Samar","non-dropping-particle":"","parse-names":false,"suffix":""},{"dropping-particle":"","family":"Parthasarathy","given":"Prakash","non-dropping-particle":"","parse-names":false,"suffix":""},{"dropping-particle":"","family":"Mackey","given":"Hamish R.","non-dropping-particle":"","parse-names":false,"suffix":""},{"dropping-particle":"","family":"Al-Ansari","given":"Tareq","non-dropping-particle":"","parse-names":false,"suffix":""},{"dropping-particle":"","family":"Elhassan","given":"Omar","non-dropping-particle":"","parse-names":false,"suffix":""},{"dropping-particle":"","family":"Mansour","given":"Said","non-dropping-particle":"","parse-names":false,"suffix":""},{"dropping-particle":"","family":"McKay","given":"Gordon","non-dropping-particle":"","parse-names":false,"suffix":""}],"container-title":"Biomass Conversion and Biorefinery","id":"ITEM-1","issued":{"date-parts":[["2022","2","17"]]},"page":"1-18","publisher":"Springer Science and Business Media Deutschland GmbH","title":"Biochar development from thermal TGA studies of individual food waste vegetables and their blended systems","type":"article-journal","volume":"1"},"uris":["http://www.mendeley.com/documents/?uuid=d215f4f7-fcad-3151-82d3-44387d520b7f"]}],"mendeley":{"formattedCitation":"(Elkhalifa et al., 2022)","plainTextFormattedCitation":"(Elkhalifa et al., 2022)","previouslyFormattedCitation":"(Elkhalifa et al., 2022)"},"properties":{"noteIndex":0},"schema":"https://github.com/citation-style-language/schema/raw/master/csl-citation.json"}</w:instrText>
      </w:r>
      <w:r w:rsidR="005F57BD" w:rsidRPr="00430059">
        <w:rPr>
          <w:rFonts w:cs="Arial"/>
          <w:szCs w:val="18"/>
          <w:shd w:val="clear" w:color="auto" w:fill="FFFFFF"/>
        </w:rPr>
        <w:fldChar w:fldCharType="separate"/>
      </w:r>
      <w:r w:rsidR="00ED03DB" w:rsidRPr="00430059">
        <w:rPr>
          <w:rFonts w:cs="Arial"/>
          <w:noProof/>
          <w:szCs w:val="18"/>
          <w:shd w:val="clear" w:color="auto" w:fill="FFFFFF"/>
        </w:rPr>
        <w:t>(Elkhalifa et al., 2022)</w:t>
      </w:r>
      <w:r w:rsidR="005F57BD" w:rsidRPr="00430059">
        <w:rPr>
          <w:rFonts w:cs="Arial"/>
          <w:szCs w:val="18"/>
          <w:shd w:val="clear" w:color="auto" w:fill="FFFFFF"/>
        </w:rPr>
        <w:fldChar w:fldCharType="end"/>
      </w:r>
      <w:r w:rsidRPr="00430059">
        <w:rPr>
          <w:szCs w:val="18"/>
          <w:lang w:val="en-GB"/>
        </w:rPr>
        <w:t>. The</w:t>
      </w:r>
      <w:r w:rsidRPr="00430059">
        <w:rPr>
          <w:lang w:val="en-GB"/>
        </w:rPr>
        <w:t xml:space="preserve"> quantity and characteristics of biochar are primarily determined by temperature and </w:t>
      </w:r>
      <w:r w:rsidRPr="00430059">
        <w:rPr>
          <w:szCs w:val="18"/>
          <w:lang w:val="en-GB"/>
        </w:rPr>
        <w:t>heating rate. Various pyrolysis parameters, including residence time, feedstock size, reactor type, and catalyst, also influence the properties of biochar.</w:t>
      </w:r>
    </w:p>
    <w:p w14:paraId="745D8468" w14:textId="559293C0" w:rsidR="00235AF7" w:rsidRPr="00430059" w:rsidRDefault="00235AF7" w:rsidP="00AE3FA7">
      <w:pPr>
        <w:pStyle w:val="CETBodytext"/>
        <w:rPr>
          <w:lang w:val="en-GB"/>
        </w:rPr>
      </w:pPr>
      <w:r w:rsidRPr="00430059">
        <w:rPr>
          <w:szCs w:val="18"/>
          <w:lang w:val="en-GB"/>
        </w:rPr>
        <w:lastRenderedPageBreak/>
        <w:t xml:space="preserve">In this study, the pyrolysis prediction model is used to forecast pyrolysis products' generation potential. The model is based on the pyrolysis reactions. The model covers pyrolysis variables like temperature and heating rate. Many investigators have confirmed and effectively utilised this model to predict the distribution of pyrolysis products </w:t>
      </w:r>
      <w:r w:rsidR="005F57BD" w:rsidRPr="00430059">
        <w:rPr>
          <w:rFonts w:cs="Arial"/>
          <w:szCs w:val="18"/>
          <w:shd w:val="clear" w:color="auto" w:fill="FFFFFF"/>
        </w:rPr>
        <w:fldChar w:fldCharType="begin" w:fldLock="1"/>
      </w:r>
      <w:r w:rsidR="00ED03DB" w:rsidRPr="00430059">
        <w:rPr>
          <w:rFonts w:cs="Arial"/>
          <w:szCs w:val="18"/>
          <w:shd w:val="clear" w:color="auto" w:fill="FFFFFF"/>
        </w:rPr>
        <w:instrText>ADDIN CSL_CITATION {"citationItems":[{"id":"ITEM-1","itemData":{"DOI":"10.1016/J.PECS.2011.01.001","ISSN":"0360-1285","abstract":"In this study some literature data on the pyrolysis characteristics of biomass under inert atmosphere were structured and analyzed, constituting a guide to the conversion behavior of a fuel particle within the temperature range of 200-1000 °C. Data is presented for both pyrolytic product distribution (yields of char, total liquids, water, total gas and individual gas species) and properties (elemental composition and heating value) showing clear dependencies on peak temperature. Empirical relationships are derived from the collected data, over a wide range of pyrolysis conditions and considering a variety of fuels, including relations between the yields of gas-phase volatiles and thermochemical properties of char, tar and gas. An empirical model for the stoichiometry of biomass pyrolysis is presented, where empirical parameters are introduced to close the conservation equations describing the process. The composition of pyrolytic volatiles is described by means of a relevant number of species: H2O, tar, CO2, CO, H2, CH4 and other light hydrocarbons. The model is here primarily used as a tool in the analysis of the general trends of biomass pyrolysis, enabling also to verify the consistency of the collected data. Comparison of model results with the literature data shows that the information on product properties is well correlated with the one on product distribution. The prediction capability of the model is briefly addressed, with the results showing that the yields of volatiles released from a specific biomass are predicted with a reasonable accuracy. Particle models of the type presented in this study can be useful as a submodel in comprehensive reactor models simulating pyrolysis, gasification or combustion processes. © 2010 Elsevier Ltd. All rights reserved.","author":[{"dropping-particle":"","family":"Neves","given":"Daniel","non-dropping-particle":"","parse-names":false,"suffix":""},{"dropping-particle":"","family":"Thunman","given":"Henrik","non-dropping-particle":"","parse-names":false,"suffix":""},{"dropping-particle":"","family":"Matos","given":"Arlindo","non-dropping-particle":"","parse-names":false,"suffix":""},{"dropping-particle":"","family":"Tarelho","given":"Luís","non-dropping-particle":"","parse-names":false,"suffix":""},{"dropping-particle":"","family":"Gómez-Barea","given":"Alberto","non-dropping-particle":"","parse-names":false,"suffix":""}],"container-title":"Progress in Energy and Combustion Science","id":"ITEM-1","issue":"5","issued":{"date-parts":[["2011","9","1"]]},"page":"611-630","publisher":"Pergamon","title":"Characterization and prediction of biomass pyrolysis products","type":"article-journal","volume":"37"},"uris":["http://www.mendeley.com/documents/?uuid=ffca53fb-f0ef-3c58-bdc9-89eba423199d"]}],"mendeley":{"formattedCitation":"(Neves et al., 2011)","plainTextFormattedCitation":"(Neves et al., 2011)","previouslyFormattedCitation":"(Neves et al., 2011)"},"properties":{"noteIndex":0},"schema":"https://github.com/citation-style-language/schema/raw/master/csl-citation.json"}</w:instrText>
      </w:r>
      <w:r w:rsidR="005F57BD" w:rsidRPr="00430059">
        <w:rPr>
          <w:rFonts w:cs="Arial"/>
          <w:szCs w:val="18"/>
          <w:shd w:val="clear" w:color="auto" w:fill="FFFFFF"/>
        </w:rPr>
        <w:fldChar w:fldCharType="separate"/>
      </w:r>
      <w:r w:rsidR="00ED03DB" w:rsidRPr="00430059">
        <w:rPr>
          <w:rFonts w:cs="Arial"/>
          <w:noProof/>
          <w:szCs w:val="18"/>
          <w:shd w:val="clear" w:color="auto" w:fill="FFFFFF"/>
        </w:rPr>
        <w:t>(Neves et al., 2011)</w:t>
      </w:r>
      <w:r w:rsidR="005F57BD" w:rsidRPr="00430059">
        <w:rPr>
          <w:rFonts w:cs="Arial"/>
          <w:szCs w:val="18"/>
          <w:shd w:val="clear" w:color="auto" w:fill="FFFFFF"/>
        </w:rPr>
        <w:fldChar w:fldCharType="end"/>
      </w:r>
      <w:r w:rsidRPr="00430059">
        <w:rPr>
          <w:szCs w:val="18"/>
          <w:lang w:val="en-GB"/>
        </w:rPr>
        <w:t xml:space="preserve">. The pyrolytic kinetics model </w:t>
      </w:r>
      <w:r w:rsidR="00AE3FA7" w:rsidRPr="00430059">
        <w:rPr>
          <w:szCs w:val="18"/>
          <w:lang w:val="en-GB"/>
        </w:rPr>
        <w:t xml:space="preserve">followed </w:t>
      </w:r>
      <w:r w:rsidR="00926DA0" w:rsidRPr="00430059">
        <w:rPr>
          <w:szCs w:val="18"/>
          <w:lang w:val="en-GB"/>
        </w:rPr>
        <w:t>elsewhere</w:t>
      </w:r>
      <w:r w:rsidRPr="00430059">
        <w:rPr>
          <w:szCs w:val="18"/>
          <w:lang w:val="en-GB"/>
        </w:rPr>
        <w:t xml:space="preserve"> has been modified in the present study to predict the yields of biochar, bio-</w:t>
      </w:r>
      <w:r w:rsidRPr="00430059">
        <w:rPr>
          <w:lang w:val="en-GB"/>
        </w:rPr>
        <w:t>oil, and syngas</w:t>
      </w:r>
      <w:r w:rsidR="00ED03DB" w:rsidRPr="00430059">
        <w:rPr>
          <w:lang w:val="en-GB"/>
        </w:rPr>
        <w:t xml:space="preserve"> </w:t>
      </w:r>
      <w:r w:rsidR="00ED03DB" w:rsidRPr="00430059">
        <w:rPr>
          <w:lang w:val="en-GB"/>
        </w:rPr>
        <w:fldChar w:fldCharType="begin" w:fldLock="1"/>
      </w:r>
      <w:r w:rsidR="00ED03DB" w:rsidRPr="00430059">
        <w:rPr>
          <w:lang w:val="en-GB"/>
        </w:rPr>
        <w:instrText>ADDIN CSL_CITATION {"citationItems":[{"id":"ITEM-1","itemData":{"author":[{"dropping-particle":"","family":"Song","given":"B.","non-dropping-particle":"","parse-names":false,"suffix":""}],"container-title":"Biochar","id":"ITEM-1","issued":{"date-parts":[["2016"]]},"page":"227–238","title":"Biomass pyrolysis for biochar production: kinetics, energetics and economics","type":"article-journal"},"uris":["http://www.mendeley.com/documents/?uuid=47614efb-d6e6-4335-85f3-6da787564689"]}],"mendeley":{"formattedCitation":"(Song, 2016)","plainTextFormattedCitation":"(Song, 2016)","previouslyFormattedCitation":"(Song, 2016)"},"properties":{"noteIndex":0},"schema":"https://github.com/citation-style-language/schema/raw/master/csl-citation.json"}</w:instrText>
      </w:r>
      <w:r w:rsidR="00ED03DB" w:rsidRPr="00430059">
        <w:rPr>
          <w:lang w:val="en-GB"/>
        </w:rPr>
        <w:fldChar w:fldCharType="separate"/>
      </w:r>
      <w:r w:rsidR="00ED03DB" w:rsidRPr="00430059">
        <w:rPr>
          <w:noProof/>
          <w:lang w:val="en-GB"/>
        </w:rPr>
        <w:t>(Song, 2016)</w:t>
      </w:r>
      <w:r w:rsidR="00ED03DB" w:rsidRPr="00430059">
        <w:rPr>
          <w:lang w:val="en-GB"/>
        </w:rPr>
        <w:fldChar w:fldCharType="end"/>
      </w:r>
      <w:r w:rsidRPr="00430059">
        <w:rPr>
          <w:lang w:val="en-GB"/>
        </w:rPr>
        <w:t>.</w:t>
      </w:r>
    </w:p>
    <w:p w14:paraId="42AD8C9B" w14:textId="5A430D16" w:rsidR="00235AF7" w:rsidRPr="00430059" w:rsidRDefault="00926DA0" w:rsidP="00AE3FA7">
      <w:pPr>
        <w:pStyle w:val="CETBodytext"/>
        <w:rPr>
          <w:lang w:val="en-GB"/>
        </w:rPr>
      </w:pPr>
      <w:r w:rsidRPr="00430059">
        <w:rPr>
          <w:lang w:val="en-GB"/>
        </w:rPr>
        <w:t>T</w:t>
      </w:r>
      <w:r w:rsidR="00235AF7" w:rsidRPr="00430059">
        <w:rPr>
          <w:lang w:val="en-GB"/>
        </w:rPr>
        <w:t>here is a notable lack of detailed documentation on the production of poultry litter in the country, the possibilities of generating biochar from it, and the potential financial benefits linked to biochar production.</w:t>
      </w:r>
    </w:p>
    <w:p w14:paraId="16F7F5D8" w14:textId="77777777" w:rsidR="00235AF7" w:rsidRPr="00430059" w:rsidRDefault="00235AF7" w:rsidP="00AE3FA7">
      <w:pPr>
        <w:pStyle w:val="CETBodytext"/>
        <w:rPr>
          <w:lang w:val="en-GB"/>
        </w:rPr>
      </w:pPr>
      <w:r w:rsidRPr="00430059">
        <w:rPr>
          <w:lang w:val="en-GB"/>
        </w:rPr>
        <w:t>Considering the above, the following objectives are set for this research endeavour:</w:t>
      </w:r>
    </w:p>
    <w:p w14:paraId="419F29A6" w14:textId="2527DB5D" w:rsidR="00235AF7" w:rsidRPr="00430059" w:rsidRDefault="00235AF7" w:rsidP="00AE3FA7">
      <w:pPr>
        <w:pStyle w:val="CETBodytext"/>
        <w:numPr>
          <w:ilvl w:val="0"/>
          <w:numId w:val="24"/>
        </w:numPr>
        <w:jc w:val="left"/>
        <w:rPr>
          <w:lang w:val="en-GB"/>
        </w:rPr>
      </w:pPr>
      <w:r w:rsidRPr="00430059">
        <w:rPr>
          <w:lang w:val="en-GB"/>
        </w:rPr>
        <w:t>To quantify poultry litter waste generation in Qatar;</w:t>
      </w:r>
    </w:p>
    <w:p w14:paraId="120D9867" w14:textId="2E4AD8D3" w:rsidR="00235AF7" w:rsidRPr="00430059" w:rsidRDefault="00235AF7" w:rsidP="00AE3FA7">
      <w:pPr>
        <w:pStyle w:val="CETBodytext"/>
        <w:numPr>
          <w:ilvl w:val="0"/>
          <w:numId w:val="24"/>
        </w:numPr>
        <w:jc w:val="left"/>
        <w:rPr>
          <w:lang w:val="en-GB"/>
        </w:rPr>
      </w:pPr>
      <w:r w:rsidRPr="00430059">
        <w:rPr>
          <w:lang w:val="en-GB"/>
        </w:rPr>
        <w:t>To estimate biochar generation potential from the available poultry litter;</w:t>
      </w:r>
    </w:p>
    <w:p w14:paraId="2E9C6BC1" w14:textId="14285EE2" w:rsidR="00235AF7" w:rsidRPr="00430059" w:rsidRDefault="00235AF7" w:rsidP="00AE3FA7">
      <w:pPr>
        <w:pStyle w:val="CETBodytext"/>
        <w:numPr>
          <w:ilvl w:val="0"/>
          <w:numId w:val="24"/>
        </w:numPr>
        <w:jc w:val="left"/>
        <w:rPr>
          <w:lang w:val="en-GB"/>
        </w:rPr>
      </w:pPr>
      <w:r w:rsidRPr="00430059">
        <w:rPr>
          <w:lang w:val="en-GB"/>
        </w:rPr>
        <w:t>To determine the possible revenue from biochar production in Qatar.</w:t>
      </w:r>
    </w:p>
    <w:p w14:paraId="1A5F4DF5" w14:textId="7DAAF468" w:rsidR="00CD3208" w:rsidRPr="00430059" w:rsidRDefault="00CD3208" w:rsidP="000241A2">
      <w:pPr>
        <w:pStyle w:val="CETBodytext"/>
        <w:rPr>
          <w:lang w:val="en-GB"/>
        </w:rPr>
      </w:pPr>
      <w:r w:rsidRPr="00430059">
        <w:rPr>
          <w:lang w:val="en-GB"/>
        </w:rPr>
        <w:t xml:space="preserve">The study followed the project workflow outlined below: gathering poultry litter availability data </w:t>
      </w:r>
      <w:r w:rsidR="008E54E9" w:rsidRPr="00430059">
        <w:rPr>
          <w:lang w:val="en-GB"/>
        </w:rPr>
        <w:t>in Qatar</w:t>
      </w:r>
      <w:r w:rsidRPr="00430059">
        <w:rPr>
          <w:lang w:val="en-GB"/>
        </w:rPr>
        <w:t>, collecting characterisation analysis data of poultry litter, conducting techno-economic analyses, and estimating the potential for biochar generation and biochar revenue.</w:t>
      </w:r>
    </w:p>
    <w:p w14:paraId="5741900F" w14:textId="6BF72008" w:rsidR="00453E24" w:rsidRPr="00430059" w:rsidRDefault="00235AF7" w:rsidP="00AE3FA7">
      <w:pPr>
        <w:pStyle w:val="CETHeading1"/>
      </w:pPr>
      <w:r w:rsidRPr="00430059">
        <w:t>Materials &amp; methods</w:t>
      </w:r>
    </w:p>
    <w:p w14:paraId="74490717" w14:textId="00E014D8" w:rsidR="00235AF7" w:rsidRPr="00430059" w:rsidRDefault="003D07D7" w:rsidP="00AE3FA7">
      <w:pPr>
        <w:pStyle w:val="CETBodytext"/>
      </w:pPr>
      <w:r w:rsidRPr="00430059">
        <w:t xml:space="preserve">Poultry litter waste </w:t>
      </w:r>
      <w:r w:rsidR="002143FD" w:rsidRPr="00430059">
        <w:t>was</w:t>
      </w:r>
      <w:r w:rsidRPr="00430059">
        <w:t xml:space="preserve"> chosen as the feedstock for this study.</w:t>
      </w:r>
    </w:p>
    <w:p w14:paraId="0636B784" w14:textId="162B874A" w:rsidR="00453E24" w:rsidRPr="00430059" w:rsidRDefault="003D07D7" w:rsidP="00AE3FA7">
      <w:pPr>
        <w:pStyle w:val="CETheadingx"/>
      </w:pPr>
      <w:r w:rsidRPr="00430059">
        <w:t>Quantification of poultry litter waste generation</w:t>
      </w:r>
    </w:p>
    <w:p w14:paraId="7C2B0064" w14:textId="160E8E84" w:rsidR="00453E24" w:rsidRPr="00430059" w:rsidRDefault="005F57BD" w:rsidP="00AE3FA7">
      <w:pPr>
        <w:pStyle w:val="CETBodytext"/>
      </w:pPr>
      <w:r w:rsidRPr="00430059">
        <w:t>G</w:t>
      </w:r>
      <w:r w:rsidR="003D07D7" w:rsidRPr="00430059">
        <w:t xml:space="preserve">overnment statistics </w:t>
      </w:r>
      <w:r w:rsidR="003D07D7" w:rsidRPr="00430059">
        <w:rPr>
          <w:szCs w:val="18"/>
        </w:rPr>
        <w:t xml:space="preserve">reports </w:t>
      </w:r>
      <w:r w:rsidRPr="00430059">
        <w:rPr>
          <w:rFonts w:cs="Arial"/>
          <w:szCs w:val="18"/>
          <w:shd w:val="clear" w:color="auto" w:fill="FFFFFF"/>
        </w:rPr>
        <w:fldChar w:fldCharType="begin" w:fldLock="1"/>
      </w:r>
      <w:r w:rsidR="00ED03DB" w:rsidRPr="00430059">
        <w:rPr>
          <w:rFonts w:cs="Arial"/>
          <w:szCs w:val="18"/>
          <w:shd w:val="clear" w:color="auto" w:fill="FFFFFF"/>
        </w:rPr>
        <w:instrText>ADDIN CSL_CITATION {"citationItems":[{"id":"ITEM-1","itemData":{"author":[{"dropping-particle":"","family":"Planning and Statistics Authority (PSA)","given":"","non-dropping-particle":"","parse-names":false,"suffix":""}],"id":"ITEM-1","issued":{"date-parts":[["2021"]]},"number-of-pages":"1-21","publisher-place":"Doha, Qatar","title":"Agriculture Statistics","type":"report"},"uris":["http://www.mendeley.com/documents/?uuid=f0841c68-7f65-4fcc-8876-6359b3dcba30"]}],"mendeley":{"formattedCitation":"(Planning and Statistics Authority (PSA), 2021)","plainTextFormattedCitation":"(Planning and Statistics Authority (PSA), 2021)","previouslyFormattedCitation":"(Planning and Statistics Authority (PSA), 2021)"},"properties":{"noteIndex":0},"schema":"https://github.com/citation-style-language/schema/raw/master/csl-citation.json"}</w:instrText>
      </w:r>
      <w:r w:rsidRPr="00430059">
        <w:rPr>
          <w:rFonts w:cs="Arial"/>
          <w:szCs w:val="18"/>
          <w:shd w:val="clear" w:color="auto" w:fill="FFFFFF"/>
        </w:rPr>
        <w:fldChar w:fldCharType="separate"/>
      </w:r>
      <w:r w:rsidR="00ED03DB" w:rsidRPr="00430059">
        <w:rPr>
          <w:rFonts w:cs="Arial"/>
          <w:noProof/>
          <w:szCs w:val="18"/>
          <w:shd w:val="clear" w:color="auto" w:fill="FFFFFF"/>
        </w:rPr>
        <w:t>(Planning and Statistics Authority (PSA), 2021)</w:t>
      </w:r>
      <w:r w:rsidRPr="00430059">
        <w:rPr>
          <w:rFonts w:cs="Arial"/>
          <w:szCs w:val="18"/>
          <w:shd w:val="clear" w:color="auto" w:fill="FFFFFF"/>
        </w:rPr>
        <w:fldChar w:fldCharType="end"/>
      </w:r>
      <w:r w:rsidRPr="00430059">
        <w:rPr>
          <w:rFonts w:cs="Arial"/>
          <w:szCs w:val="18"/>
          <w:shd w:val="clear" w:color="auto" w:fill="FFFFFF"/>
        </w:rPr>
        <w:t xml:space="preserve"> </w:t>
      </w:r>
      <w:r w:rsidR="003D07D7" w:rsidRPr="00430059">
        <w:rPr>
          <w:szCs w:val="18"/>
        </w:rPr>
        <w:t xml:space="preserve">and literature studies </w:t>
      </w:r>
      <w:r w:rsidRPr="00430059">
        <w:rPr>
          <w:rFonts w:cs="Arial"/>
          <w:szCs w:val="18"/>
          <w:shd w:val="clear" w:color="auto" w:fill="FFFFFF"/>
        </w:rPr>
        <w:fldChar w:fldCharType="begin" w:fldLock="1"/>
      </w:r>
      <w:r w:rsidR="00ED03DB" w:rsidRPr="00430059">
        <w:rPr>
          <w:rFonts w:cs="Arial"/>
          <w:szCs w:val="18"/>
          <w:shd w:val="clear" w:color="auto" w:fill="FFFFFF"/>
        </w:rPr>
        <w:instrText>ADDIN CSL_CITATION {"citationItems":[{"id":"ITEM-1","itemData":{"author":[{"dropping-particle":"","family":"Barker","given":"J.C.","non-dropping-particle":"","parse-names":false,"suffix":""},{"dropping-particle":"","family":"Hodges","given":"S.C.","non-dropping-particle":"","parse-names":false,"suffix":""},{"dropping-particle":"","family":"Walls","given":"F.R.","non-dropping-particle":"","parse-names":false,"suffix":""}],"id":"ITEM-1","issued":{"date-parts":[["2002"]]},"title":"Livestock Manure Production Rates and Nutrient Content","type":"report"},"uris":["http://www.mendeley.com/documents/?uuid=a6f6b5a0-46b9-493d-89df-b74206ba8f18"]}],"mendeley":{"formattedCitation":"(Barker et al., 2002)","plainTextFormattedCitation":"(Barker et al., 2002)","previouslyFormattedCitation":"(Barker et al., 2002)"},"properties":{"noteIndex":0},"schema":"https://github.com/citation-style-language/schema/raw/master/csl-citation.json"}</w:instrText>
      </w:r>
      <w:r w:rsidRPr="00430059">
        <w:rPr>
          <w:rFonts w:cs="Arial"/>
          <w:szCs w:val="18"/>
          <w:shd w:val="clear" w:color="auto" w:fill="FFFFFF"/>
        </w:rPr>
        <w:fldChar w:fldCharType="separate"/>
      </w:r>
      <w:r w:rsidR="00ED03DB" w:rsidRPr="00430059">
        <w:rPr>
          <w:rFonts w:cs="Arial"/>
          <w:noProof/>
          <w:szCs w:val="18"/>
          <w:shd w:val="clear" w:color="auto" w:fill="FFFFFF"/>
        </w:rPr>
        <w:t>(Barker et al., 2002)</w:t>
      </w:r>
      <w:r w:rsidRPr="00430059">
        <w:rPr>
          <w:rFonts w:cs="Arial"/>
          <w:szCs w:val="18"/>
          <w:shd w:val="clear" w:color="auto" w:fill="FFFFFF"/>
        </w:rPr>
        <w:fldChar w:fldCharType="end"/>
      </w:r>
      <w:r w:rsidR="003D07D7" w:rsidRPr="00430059">
        <w:rPr>
          <w:szCs w:val="18"/>
        </w:rPr>
        <w:t xml:space="preserve"> on livestock</w:t>
      </w:r>
      <w:r w:rsidR="003D07D7" w:rsidRPr="00430059">
        <w:t xml:space="preserve"> manure production were reviewed.</w:t>
      </w:r>
    </w:p>
    <w:p w14:paraId="18BAFA6F" w14:textId="60FBB39E" w:rsidR="00453E24" w:rsidRPr="00430059" w:rsidRDefault="003D07D7" w:rsidP="00AE3FA7">
      <w:pPr>
        <w:pStyle w:val="CETheadingx"/>
      </w:pPr>
      <w:r w:rsidRPr="00430059">
        <w:t>Techno-economic analysis</w:t>
      </w:r>
    </w:p>
    <w:p w14:paraId="2155A686" w14:textId="77777777" w:rsidR="000241A2" w:rsidRPr="00430059" w:rsidRDefault="00926DA0" w:rsidP="00AE3FA7">
      <w:pPr>
        <w:pStyle w:val="CETBodytext"/>
        <w:rPr>
          <w:szCs w:val="18"/>
          <w:lang w:val="en-GB"/>
        </w:rPr>
      </w:pPr>
      <w:r w:rsidRPr="00430059">
        <w:rPr>
          <w:lang w:val="en-GB"/>
        </w:rPr>
        <w:t xml:space="preserve">The </w:t>
      </w:r>
      <w:r w:rsidR="003D07D7" w:rsidRPr="00430059">
        <w:rPr>
          <w:lang w:val="en-GB"/>
        </w:rPr>
        <w:t xml:space="preserve">current study utilised </w:t>
      </w:r>
      <w:r w:rsidRPr="00430059">
        <w:rPr>
          <w:lang w:val="en-GB"/>
        </w:rPr>
        <w:t xml:space="preserve">empirical equations based on </w:t>
      </w:r>
      <w:r w:rsidR="003D07D7" w:rsidRPr="00430059">
        <w:rPr>
          <w:szCs w:val="18"/>
          <w:lang w:val="en-GB"/>
        </w:rPr>
        <w:t xml:space="preserve">proximate and elemental analysis results to calculate the yield of biochar, syngas, and bio-oil. Figure 1 illustrates the schematics of the poultry litter pyrolysis process. </w:t>
      </w:r>
    </w:p>
    <w:p w14:paraId="77BE8A0D" w14:textId="77777777" w:rsidR="000241A2" w:rsidRPr="00430059" w:rsidRDefault="000241A2" w:rsidP="000241A2">
      <w:pPr>
        <w:pStyle w:val="CETBodytext"/>
        <w:jc w:val="left"/>
      </w:pPr>
      <w:r w:rsidRPr="00430059">
        <w:rPr>
          <w:rFonts w:cs="Arial"/>
          <w:noProof/>
          <w:sz w:val="24"/>
          <w:szCs w:val="24"/>
        </w:rPr>
        <w:drawing>
          <wp:inline distT="0" distB="0" distL="0" distR="0" wp14:anchorId="63C2FEBF" wp14:editId="1B9BCBE8">
            <wp:extent cx="5574665" cy="2374900"/>
            <wp:effectExtent l="0" t="0" r="0" b="0"/>
            <wp:docPr id="1966696251" name="Picture 1" descr="A diagram of a process of a chick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96251" name="Picture 1" descr="A diagram of a process of a chicken&#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279" b="3972"/>
                    <a:stretch/>
                  </pic:blipFill>
                  <pic:spPr bwMode="auto">
                    <a:xfrm>
                      <a:off x="0" y="0"/>
                      <a:ext cx="5612999" cy="2391231"/>
                    </a:xfrm>
                    <a:prstGeom prst="rect">
                      <a:avLst/>
                    </a:prstGeom>
                    <a:noFill/>
                    <a:ln>
                      <a:noFill/>
                    </a:ln>
                    <a:extLst>
                      <a:ext uri="{53640926-AAD7-44D8-BBD7-CCE9431645EC}">
                        <a14:shadowObscured xmlns:a14="http://schemas.microsoft.com/office/drawing/2010/main"/>
                      </a:ext>
                    </a:extLst>
                  </pic:spPr>
                </pic:pic>
              </a:graphicData>
            </a:graphic>
          </wp:inline>
        </w:drawing>
      </w:r>
      <w:r w:rsidRPr="00430059">
        <w:rPr>
          <w:rStyle w:val="CETCaptionCarattere"/>
        </w:rPr>
        <w:t>Figure 1: A simplified flow diagram illustrating poultry litter pyrolysis process.</w:t>
      </w:r>
    </w:p>
    <w:p w14:paraId="2AB67A1A" w14:textId="77777777" w:rsidR="000241A2" w:rsidRPr="00430059" w:rsidRDefault="000241A2" w:rsidP="00AE3FA7">
      <w:pPr>
        <w:pStyle w:val="CETBodytext"/>
        <w:rPr>
          <w:szCs w:val="18"/>
          <w:lang w:val="en-GB"/>
        </w:rPr>
      </w:pPr>
    </w:p>
    <w:p w14:paraId="75B13950" w14:textId="6CDE6430" w:rsidR="003D07D7" w:rsidRPr="00430059" w:rsidRDefault="003D07D7" w:rsidP="00AE3FA7">
      <w:pPr>
        <w:pStyle w:val="CETBodytext"/>
        <w:rPr>
          <w:szCs w:val="18"/>
          <w:lang w:val="en-GB"/>
        </w:rPr>
      </w:pPr>
      <w:r w:rsidRPr="00430059">
        <w:rPr>
          <w:szCs w:val="18"/>
          <w:lang w:val="en-GB"/>
        </w:rPr>
        <w:t>The initial stage of pyrolysis, which is responsible for producing biochar, normally happens between 250 and 500</w:t>
      </w:r>
      <w:r w:rsidR="00EE0B89" w:rsidRPr="00430059">
        <w:rPr>
          <w:szCs w:val="18"/>
          <w:lang w:val="en-GB"/>
        </w:rPr>
        <w:t xml:space="preserve"> °C</w:t>
      </w:r>
      <w:r w:rsidRPr="00430059">
        <w:rPr>
          <w:szCs w:val="18"/>
          <w:lang w:val="en-GB"/>
        </w:rPr>
        <w:t xml:space="preserve">. Thus, in the present study, only these particular temperatures </w:t>
      </w:r>
      <w:r w:rsidR="00926DA0" w:rsidRPr="00430059">
        <w:rPr>
          <w:szCs w:val="18"/>
          <w:lang w:val="en-GB"/>
        </w:rPr>
        <w:t xml:space="preserve">were </w:t>
      </w:r>
      <w:r w:rsidRPr="00430059">
        <w:rPr>
          <w:szCs w:val="18"/>
          <w:lang w:val="en-GB"/>
        </w:rPr>
        <w:t>considered.</w:t>
      </w:r>
    </w:p>
    <w:p w14:paraId="2AF09FFC" w14:textId="6F30021A" w:rsidR="003D07D7" w:rsidRPr="00430059" w:rsidRDefault="003D07D7" w:rsidP="00AE3FA7">
      <w:pPr>
        <w:pStyle w:val="CETBodytext"/>
        <w:rPr>
          <w:szCs w:val="18"/>
          <w:lang w:val="en-GB"/>
        </w:rPr>
      </w:pPr>
      <w:r w:rsidRPr="00430059">
        <w:rPr>
          <w:szCs w:val="18"/>
          <w:lang w:val="en-GB"/>
        </w:rPr>
        <w:t xml:space="preserve">A few key assumptions were established throughout the process of developing the prediction model. </w:t>
      </w:r>
    </w:p>
    <w:p w14:paraId="6C364C01" w14:textId="3CB89855" w:rsidR="003D07D7" w:rsidRPr="00430059" w:rsidRDefault="003D07D7" w:rsidP="00AE3FA7">
      <w:pPr>
        <w:pStyle w:val="CETBodytext"/>
        <w:numPr>
          <w:ilvl w:val="0"/>
          <w:numId w:val="25"/>
        </w:numPr>
        <w:rPr>
          <w:lang w:val="en-GB"/>
        </w:rPr>
      </w:pPr>
      <w:r w:rsidRPr="00430059">
        <w:rPr>
          <w:lang w:val="en-GB"/>
        </w:rPr>
        <w:t>An isothermal reactor operating in a N</w:t>
      </w:r>
      <w:r w:rsidRPr="00430059">
        <w:rPr>
          <w:vertAlign w:val="subscript"/>
          <w:lang w:val="en-GB"/>
        </w:rPr>
        <w:t>2</w:t>
      </w:r>
      <w:r w:rsidRPr="00430059">
        <w:rPr>
          <w:lang w:val="en-GB"/>
        </w:rPr>
        <w:t xml:space="preserve"> environment </w:t>
      </w:r>
      <w:proofErr w:type="spellStart"/>
      <w:r w:rsidRPr="00430059">
        <w:rPr>
          <w:lang w:val="en-GB"/>
        </w:rPr>
        <w:t>pyrolyses</w:t>
      </w:r>
      <w:proofErr w:type="spellEnd"/>
      <w:r w:rsidRPr="00430059">
        <w:rPr>
          <w:lang w:val="en-GB"/>
        </w:rPr>
        <w:t xml:space="preserve"> poultry litter; </w:t>
      </w:r>
    </w:p>
    <w:p w14:paraId="7A0EAACF" w14:textId="207A669E" w:rsidR="003D07D7" w:rsidRPr="00430059" w:rsidRDefault="003D07D7" w:rsidP="00AE3FA7">
      <w:pPr>
        <w:pStyle w:val="CETBodytext"/>
        <w:numPr>
          <w:ilvl w:val="0"/>
          <w:numId w:val="25"/>
        </w:numPr>
        <w:rPr>
          <w:lang w:val="en-GB"/>
        </w:rPr>
      </w:pPr>
      <w:r w:rsidRPr="00430059">
        <w:rPr>
          <w:lang w:val="en-GB"/>
        </w:rPr>
        <w:t>The poultry litter undergoes pyrolysis and is converted into water, volatile fractions (bio-oil components), syngas (H</w:t>
      </w:r>
      <w:r w:rsidRPr="00430059">
        <w:rPr>
          <w:vertAlign w:val="subscript"/>
          <w:lang w:val="en-GB"/>
        </w:rPr>
        <w:t>2</w:t>
      </w:r>
      <w:r w:rsidRPr="00430059">
        <w:rPr>
          <w:lang w:val="en-GB"/>
        </w:rPr>
        <w:t>, CH</w:t>
      </w:r>
      <w:r w:rsidRPr="00430059">
        <w:rPr>
          <w:vertAlign w:val="subscript"/>
          <w:lang w:val="en-GB"/>
        </w:rPr>
        <w:t>4</w:t>
      </w:r>
      <w:r w:rsidRPr="00430059">
        <w:rPr>
          <w:lang w:val="en-GB"/>
        </w:rPr>
        <w:t>, CO, and CO</w:t>
      </w:r>
      <w:r w:rsidRPr="00430059">
        <w:rPr>
          <w:vertAlign w:val="subscript"/>
          <w:lang w:val="en-GB"/>
        </w:rPr>
        <w:t>2</w:t>
      </w:r>
      <w:r w:rsidRPr="00430059">
        <w:rPr>
          <w:lang w:val="en-GB"/>
        </w:rPr>
        <w:t xml:space="preserve">), biochar, and ash during the initial drying phase of the reaction; </w:t>
      </w:r>
    </w:p>
    <w:p w14:paraId="1FBBCF7F" w14:textId="7804B791" w:rsidR="003D07D7" w:rsidRPr="00430059" w:rsidRDefault="003D07D7" w:rsidP="00AE3FA7">
      <w:pPr>
        <w:pStyle w:val="CETBodytext"/>
        <w:numPr>
          <w:ilvl w:val="0"/>
          <w:numId w:val="25"/>
        </w:numPr>
        <w:rPr>
          <w:lang w:val="en-GB"/>
        </w:rPr>
      </w:pPr>
      <w:r w:rsidRPr="00430059">
        <w:rPr>
          <w:lang w:val="en-GB"/>
        </w:rPr>
        <w:t>The synthesis of these products occurs in the first stage of pyrolysis (Equations 1-3)</w:t>
      </w:r>
      <w:r w:rsidR="007F66C1" w:rsidRPr="00430059">
        <w:rPr>
          <w:lang w:val="en-GB"/>
        </w:rPr>
        <w:t xml:space="preserve"> </w:t>
      </w:r>
      <w:r w:rsidR="007F66C1" w:rsidRPr="00430059">
        <w:rPr>
          <w:lang w:val="en-GB"/>
        </w:rPr>
        <w:fldChar w:fldCharType="begin" w:fldLock="1"/>
      </w:r>
      <w:r w:rsidR="008F2D38" w:rsidRPr="00430059">
        <w:rPr>
          <w:lang w:val="en-GB"/>
        </w:rPr>
        <w:instrText>ADDIN CSL_CITATION {"citationItems":[{"id":"ITEM-1","itemData":{"DOI":"10.1007/978-981-13-1202-1_28","abstract":"Pyrolysis of biomass feedstocks in the absence or limited supply of air/oxygen yields solid (char), liquid (oils), and gaseous products (flue gas). Biomass pyrolysis is gaining attention due to the vast array of products as output and offers a wide range of applications in both energy and environmental arena. Biochar is being used as a soil amendment in the agricultural sector, carbon sequestration, and adsorbing pollutants from the land, whereas pyrolysis oil can be upgraded to the application in the internal combustion (IC) engines. Flue gas has various constituents of hydrocarbons in the form of hydrogen, methane, and ethylene and demands the sophisticated purification for their specific application. This paper attempts to model the pyrolysis process using different biochemical and empirical approaches to evaluate the product yield along with its composition. Since the biomass feedstocks are mainly composed of carbon, hydrogen, and oxygen, the kinetic model has been developed to utilize the elemental characteristics as inputs to predict the product composition. The pyrolysis operational parameter of temperature, at which the reaction occurs, has been considered in the model used in the present investigation. This modeling approach would help in comprehending the pyrolysis process and for the efficient utilization of biomass feedstocks to derive the desired product yield.","author":[{"dropping-particle":"","family":"Swagathnath","given":"G.","non-dropping-particle":"","parse-names":false,"suffix":""},{"dropping-particle":"","family":"Rangabhashiyam","given":"S.","non-dropping-particle":"","parse-names":false,"suffix":""},{"dropping-particle":"","family":"Parthsarathi","given":"Kar","non-dropping-particle":"","parse-names":false,"suffix":""},{"dropping-particle":"","family":"Murugan","given":"S.","non-dropping-particle":"","parse-names":false,"suffix":""},{"dropping-particle":"","family":"Balasubramanian","given":"P.","non-dropping-particle":"","parse-names":false,"suffix":""}],"container-title":"Green Buildings and Sustainable Engineering: Proceedings of GBSE 2018.","editor":[{"dropping-particle":"","family":"H","given":"Druck","non-dropping-particle":"","parse-names":false,"suffix":""},{"dropping-particle":"","family":"Pillai RG, Tharian MG","given":"Majeed AZ","non-dropping-particle":"","parse-names":false,"suffix":""}],"id":"ITEM-1","issued":{"date-parts":[["2019"]]},"page":"325-336","publisher-place":"Singapore","title":"Modeling Biochar Yield and Syngas Production During the Pyrolysis of Agro-Residues","type":"chapter"},"uris":["http://www.mendeley.com/documents/?uuid=2e559c20-845a-446c-86f3-7b49913fba60"]}],"mendeley":{"formattedCitation":"(Swagathnath et al., 2019)","plainTextFormattedCitation":"(Swagathnath et al., 2019)","previouslyFormattedCitation":"(Swagathnath et al., 2019)"},"properties":{"noteIndex":0},"schema":"https://github.com/citation-style-language/schema/raw/master/csl-citation.json"}</w:instrText>
      </w:r>
      <w:r w:rsidR="007F66C1" w:rsidRPr="00430059">
        <w:rPr>
          <w:lang w:val="en-GB"/>
        </w:rPr>
        <w:fldChar w:fldCharType="separate"/>
      </w:r>
      <w:r w:rsidR="007F66C1" w:rsidRPr="00430059">
        <w:rPr>
          <w:noProof/>
          <w:lang w:val="en-GB"/>
        </w:rPr>
        <w:t>(Swagathnath et al., 2019)</w:t>
      </w:r>
      <w:r w:rsidR="007F66C1" w:rsidRPr="00430059">
        <w:rPr>
          <w:lang w:val="en-GB"/>
        </w:rPr>
        <w:fldChar w:fldCharType="end"/>
      </w:r>
      <w:r w:rsidRPr="00430059">
        <w:rPr>
          <w:lang w:val="en-GB"/>
        </w:rPr>
        <w:t xml:space="preserve">; </w:t>
      </w:r>
    </w:p>
    <w:p w14:paraId="0313FE34" w14:textId="57D638F9" w:rsidR="003D07D7" w:rsidRPr="00430059" w:rsidRDefault="003D07D7" w:rsidP="00AE3FA7">
      <w:pPr>
        <w:pStyle w:val="CETBodytext"/>
        <w:numPr>
          <w:ilvl w:val="0"/>
          <w:numId w:val="25"/>
        </w:numPr>
        <w:rPr>
          <w:lang w:val="en-GB"/>
        </w:rPr>
      </w:pPr>
      <w:r w:rsidRPr="00430059">
        <w:rPr>
          <w:lang w:val="en-GB"/>
        </w:rPr>
        <w:t>As the temperature rises in the subsequent stages, the bio-oil is further cracked into syngas;</w:t>
      </w:r>
    </w:p>
    <w:p w14:paraId="7519543B" w14:textId="50548FA2" w:rsidR="003D07D7" w:rsidRPr="00430059" w:rsidRDefault="003D07D7" w:rsidP="00AE3FA7">
      <w:pPr>
        <w:pStyle w:val="CETBodytext"/>
        <w:numPr>
          <w:ilvl w:val="0"/>
          <w:numId w:val="25"/>
        </w:numPr>
        <w:rPr>
          <w:lang w:val="en-GB"/>
        </w:rPr>
      </w:pPr>
      <w:r w:rsidRPr="00430059">
        <w:rPr>
          <w:lang w:val="en-GB"/>
        </w:rPr>
        <w:t>Depending on the composition of the poultry litter, the syngas products fracture into various gaseous components during this phase.</w:t>
      </w:r>
    </w:p>
    <w:p w14:paraId="1B25EF2A" w14:textId="77777777" w:rsidR="00926DA0" w:rsidRPr="00430059" w:rsidRDefault="00926DA0" w:rsidP="00926DA0">
      <w:pPr>
        <w:pStyle w:val="CETBodytext"/>
        <w:ind w:left="720"/>
        <w:rPr>
          <w:lang w:val="en-GB"/>
        </w:rPr>
      </w:pPr>
    </w:p>
    <w:tbl>
      <w:tblPr>
        <w:tblStyle w:val="TableGrid"/>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6"/>
        <w:gridCol w:w="510"/>
      </w:tblGrid>
      <w:tr w:rsidR="00430059" w:rsidRPr="00430059" w14:paraId="648676A4" w14:textId="77777777" w:rsidTr="00DB740B">
        <w:tc>
          <w:tcPr>
            <w:tcW w:w="8986" w:type="dxa"/>
          </w:tcPr>
          <w:p w14:paraId="078CCFBD" w14:textId="77777777" w:rsidR="003D07D7" w:rsidRPr="00430059" w:rsidRDefault="003D07D7" w:rsidP="00EE0B89">
            <w:pPr>
              <w:pStyle w:val="Els-body-text"/>
              <w:rPr>
                <w:rFonts w:ascii="Arial" w:hAnsi="Arial" w:cs="Arial"/>
                <w:sz w:val="18"/>
                <w:szCs w:val="18"/>
              </w:rPr>
            </w:pPr>
            <m:oMathPara>
              <m:oMathParaPr>
                <m:jc m:val="left"/>
              </m:oMathParaPr>
              <m:oMath>
                <m:r>
                  <w:rPr>
                    <w:rFonts w:ascii="Cambria Math" w:hAnsi="Cambria Math" w:cs="Arial"/>
                    <w:sz w:val="18"/>
                    <w:szCs w:val="18"/>
                  </w:rPr>
                  <m:t>Bio-oil yield=</m:t>
                </m:r>
                <m:sSub>
                  <m:sSubPr>
                    <m:ctrlPr>
                      <w:rPr>
                        <w:rFonts w:ascii="Cambria Math" w:hAnsi="Cambria Math" w:cs="Arial"/>
                        <w:i/>
                        <w:sz w:val="18"/>
                        <w:szCs w:val="18"/>
                      </w:rPr>
                    </m:ctrlPr>
                  </m:sSubPr>
                  <m:e>
                    <m:r>
                      <w:rPr>
                        <w:rFonts w:ascii="Cambria Math" w:hAnsi="Cambria Math" w:cs="Arial"/>
                        <w:sz w:val="18"/>
                        <w:szCs w:val="18"/>
                      </w:rPr>
                      <m:t>Y</m:t>
                    </m:r>
                  </m:e>
                  <m:sub>
                    <m:r>
                      <w:rPr>
                        <w:rFonts w:ascii="Cambria Math" w:hAnsi="Cambria Math" w:cs="Arial"/>
                        <w:sz w:val="18"/>
                        <w:szCs w:val="18"/>
                      </w:rPr>
                      <m:t xml:space="preserve">tar, F </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Y</m:t>
                    </m:r>
                  </m:e>
                  <m:sub>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2</m:t>
                        </m:r>
                      </m:sub>
                    </m:sSub>
                    <m:r>
                      <w:rPr>
                        <w:rFonts w:ascii="Cambria Math" w:hAnsi="Cambria Math" w:cs="Arial"/>
                        <w:sz w:val="18"/>
                        <w:szCs w:val="18"/>
                      </w:rPr>
                      <m:t xml:space="preserve">O,F </m:t>
                    </m:r>
                  </m:sub>
                </m:sSub>
                <m:r>
                  <w:rPr>
                    <w:rFonts w:ascii="Cambria Math" w:hAnsi="Cambria Math" w:cs="Arial"/>
                    <w:sz w:val="18"/>
                    <w:szCs w:val="18"/>
                  </w:rPr>
                  <m:t>+Moisture content of samples</m:t>
                </m:r>
              </m:oMath>
            </m:oMathPara>
          </w:p>
        </w:tc>
        <w:tc>
          <w:tcPr>
            <w:tcW w:w="510" w:type="dxa"/>
          </w:tcPr>
          <w:p w14:paraId="400A41AE" w14:textId="77777777" w:rsidR="003D07D7" w:rsidRPr="00430059" w:rsidRDefault="003D07D7" w:rsidP="00EE0B89">
            <w:pPr>
              <w:pStyle w:val="Els-body-text"/>
              <w:rPr>
                <w:rFonts w:ascii="Arial" w:hAnsi="Arial" w:cs="Arial"/>
                <w:sz w:val="18"/>
                <w:szCs w:val="18"/>
              </w:rPr>
            </w:pPr>
            <w:r w:rsidRPr="00430059">
              <w:rPr>
                <w:rFonts w:ascii="Arial" w:hAnsi="Arial" w:cs="Arial"/>
                <w:sz w:val="18"/>
                <w:szCs w:val="18"/>
              </w:rPr>
              <w:t>(1)</w:t>
            </w:r>
          </w:p>
        </w:tc>
      </w:tr>
      <w:tr w:rsidR="00430059" w:rsidRPr="00430059" w14:paraId="7729F156" w14:textId="77777777" w:rsidTr="00DB740B">
        <w:tc>
          <w:tcPr>
            <w:tcW w:w="8986" w:type="dxa"/>
          </w:tcPr>
          <w:p w14:paraId="158267E5" w14:textId="77777777" w:rsidR="003D07D7" w:rsidRPr="00430059" w:rsidRDefault="003D07D7" w:rsidP="00EE0B89">
            <w:pPr>
              <w:pStyle w:val="Els-body-text"/>
              <w:rPr>
                <w:rFonts w:ascii="Arial" w:hAnsi="Arial" w:cs="Arial"/>
                <w:sz w:val="18"/>
                <w:szCs w:val="18"/>
              </w:rPr>
            </w:pPr>
            <m:oMathPara>
              <m:oMathParaPr>
                <m:jc m:val="left"/>
              </m:oMathParaPr>
              <m:oMath>
                <m:r>
                  <w:rPr>
                    <w:rFonts w:ascii="Cambria Math" w:hAnsi="Cambria Math" w:cs="Arial"/>
                    <w:sz w:val="18"/>
                    <w:szCs w:val="18"/>
                  </w:rPr>
                  <w:lastRenderedPageBreak/>
                  <m:t>Pyrogas yield=</m:t>
                </m:r>
                <m:sSub>
                  <m:sSubPr>
                    <m:ctrlPr>
                      <w:rPr>
                        <w:rFonts w:ascii="Cambria Math" w:hAnsi="Cambria Math" w:cs="Arial"/>
                        <w:i/>
                        <w:sz w:val="18"/>
                        <w:szCs w:val="18"/>
                      </w:rPr>
                    </m:ctrlPr>
                  </m:sSubPr>
                  <m:e>
                    <m:r>
                      <w:rPr>
                        <w:rFonts w:ascii="Cambria Math" w:hAnsi="Cambria Math" w:cs="Arial"/>
                        <w:sz w:val="18"/>
                        <w:szCs w:val="18"/>
                      </w:rPr>
                      <m:t>Y</m:t>
                    </m:r>
                  </m:e>
                  <m:sub>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2,F</m:t>
                        </m:r>
                      </m:sub>
                    </m:sSub>
                    <m:r>
                      <w:rPr>
                        <w:rFonts w:ascii="Cambria Math" w:hAnsi="Cambria Math" w:cs="Arial"/>
                        <w:sz w:val="18"/>
                        <w:szCs w:val="18"/>
                      </w:rPr>
                      <m:t xml:space="preserve"> </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Y</m:t>
                    </m:r>
                  </m:e>
                  <m:sub>
                    <m:r>
                      <w:rPr>
                        <w:rFonts w:ascii="Cambria Math" w:hAnsi="Cambria Math" w:cs="Arial"/>
                        <w:sz w:val="18"/>
                        <w:szCs w:val="18"/>
                      </w:rPr>
                      <m:t xml:space="preserve">CO,F </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Y</m:t>
                    </m:r>
                  </m:e>
                  <m:sub>
                    <m:r>
                      <w:rPr>
                        <w:rFonts w:ascii="Cambria Math" w:hAnsi="Cambria Math" w:cs="Arial"/>
                        <w:sz w:val="18"/>
                        <w:szCs w:val="18"/>
                      </w:rPr>
                      <m:t>C</m:t>
                    </m:r>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4</m:t>
                        </m:r>
                      </m:sub>
                    </m:sSub>
                    <m:r>
                      <w:rPr>
                        <w:rFonts w:ascii="Cambria Math" w:hAnsi="Cambria Math" w:cs="Arial"/>
                        <w:sz w:val="18"/>
                        <w:szCs w:val="18"/>
                      </w:rPr>
                      <m:t xml:space="preserve">,F </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Y</m:t>
                    </m:r>
                  </m:e>
                  <m:sub>
                    <m:r>
                      <w:rPr>
                        <w:rFonts w:ascii="Cambria Math" w:hAnsi="Cambria Math" w:cs="Arial"/>
                        <w:sz w:val="18"/>
                        <w:szCs w:val="18"/>
                      </w:rPr>
                      <m:t>C</m:t>
                    </m:r>
                    <m:sSub>
                      <m:sSubPr>
                        <m:ctrlPr>
                          <w:rPr>
                            <w:rFonts w:ascii="Cambria Math" w:hAnsi="Cambria Math" w:cs="Arial"/>
                            <w:i/>
                            <w:sz w:val="18"/>
                            <w:szCs w:val="18"/>
                          </w:rPr>
                        </m:ctrlPr>
                      </m:sSubPr>
                      <m:e>
                        <m:r>
                          <w:rPr>
                            <w:rFonts w:ascii="Cambria Math" w:hAnsi="Cambria Math" w:cs="Arial"/>
                            <w:sz w:val="18"/>
                            <w:szCs w:val="18"/>
                          </w:rPr>
                          <m:t>O</m:t>
                        </m:r>
                      </m:e>
                      <m:sub>
                        <m:r>
                          <w:rPr>
                            <w:rFonts w:ascii="Cambria Math" w:hAnsi="Cambria Math" w:cs="Arial"/>
                            <w:sz w:val="18"/>
                            <w:szCs w:val="18"/>
                          </w:rPr>
                          <m:t>2</m:t>
                        </m:r>
                      </m:sub>
                    </m:sSub>
                    <m:r>
                      <w:rPr>
                        <w:rFonts w:ascii="Cambria Math" w:hAnsi="Cambria Math" w:cs="Arial"/>
                        <w:sz w:val="18"/>
                        <w:szCs w:val="18"/>
                      </w:rPr>
                      <m:t xml:space="preserve">,F </m:t>
                    </m:r>
                  </m:sub>
                </m:sSub>
              </m:oMath>
            </m:oMathPara>
          </w:p>
        </w:tc>
        <w:tc>
          <w:tcPr>
            <w:tcW w:w="510" w:type="dxa"/>
          </w:tcPr>
          <w:p w14:paraId="46D86866" w14:textId="77777777" w:rsidR="003D07D7" w:rsidRPr="00430059" w:rsidRDefault="003D07D7" w:rsidP="00EE0B89">
            <w:pPr>
              <w:pStyle w:val="Els-body-text"/>
              <w:rPr>
                <w:rFonts w:ascii="Arial" w:hAnsi="Arial" w:cs="Arial"/>
                <w:sz w:val="18"/>
                <w:szCs w:val="18"/>
              </w:rPr>
            </w:pPr>
            <w:r w:rsidRPr="00430059">
              <w:rPr>
                <w:rFonts w:ascii="Arial" w:hAnsi="Arial" w:cs="Arial"/>
                <w:sz w:val="18"/>
                <w:szCs w:val="18"/>
              </w:rPr>
              <w:t>(2)</w:t>
            </w:r>
          </w:p>
        </w:tc>
      </w:tr>
      <w:tr w:rsidR="00430059" w:rsidRPr="00430059" w14:paraId="5BE3AB82" w14:textId="77777777" w:rsidTr="00DB740B">
        <w:tc>
          <w:tcPr>
            <w:tcW w:w="8986" w:type="dxa"/>
          </w:tcPr>
          <w:p w14:paraId="1F1C59BE" w14:textId="77777777" w:rsidR="003D07D7" w:rsidRPr="00430059" w:rsidRDefault="003D07D7" w:rsidP="00EE0B89">
            <w:pPr>
              <w:pStyle w:val="Els-body-text"/>
              <w:rPr>
                <w:rFonts w:ascii="Arial" w:hAnsi="Arial" w:cs="Arial"/>
                <w:sz w:val="18"/>
                <w:szCs w:val="18"/>
              </w:rPr>
            </w:pPr>
            <m:oMathPara>
              <m:oMathParaPr>
                <m:jc m:val="left"/>
              </m:oMathParaPr>
              <m:oMath>
                <m:r>
                  <w:rPr>
                    <w:rFonts w:ascii="Cambria Math" w:hAnsi="Cambria Math" w:cs="Arial"/>
                    <w:sz w:val="18"/>
                    <w:szCs w:val="18"/>
                  </w:rPr>
                  <m:t>Biochar yield=0.106+ 2.43*</m:t>
                </m:r>
                <m:func>
                  <m:funcPr>
                    <m:ctrlPr>
                      <w:rPr>
                        <w:rFonts w:ascii="Cambria Math" w:hAnsi="Cambria Math" w:cs="Arial"/>
                        <w:i/>
                        <w:sz w:val="18"/>
                        <w:szCs w:val="18"/>
                      </w:rPr>
                    </m:ctrlPr>
                  </m:funcPr>
                  <m:fName>
                    <m:r>
                      <m:rPr>
                        <m:sty m:val="p"/>
                      </m:rPr>
                      <w:rPr>
                        <w:rFonts w:ascii="Cambria Math" w:hAnsi="Cambria Math" w:cs="Arial"/>
                        <w:sz w:val="18"/>
                        <w:szCs w:val="18"/>
                      </w:rPr>
                      <m:t>exp</m:t>
                    </m:r>
                  </m:fName>
                  <m:e>
                    <m:r>
                      <w:rPr>
                        <w:rFonts w:ascii="Cambria Math" w:hAnsi="Cambria Math" w:cs="Arial"/>
                        <w:sz w:val="18"/>
                        <w:szCs w:val="18"/>
                      </w:rPr>
                      <m:t>(-0.66*T*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-2</m:t>
                        </m:r>
                      </m:sup>
                    </m:sSup>
                    <m:r>
                      <w:rPr>
                        <w:rFonts w:ascii="Cambria Math" w:hAnsi="Cambria Math" w:cs="Arial"/>
                        <w:sz w:val="18"/>
                        <w:szCs w:val="18"/>
                      </w:rPr>
                      <m:t>)</m:t>
                    </m:r>
                  </m:e>
                </m:func>
              </m:oMath>
            </m:oMathPara>
          </w:p>
        </w:tc>
        <w:tc>
          <w:tcPr>
            <w:tcW w:w="510" w:type="dxa"/>
          </w:tcPr>
          <w:p w14:paraId="1DAB9E46" w14:textId="77777777" w:rsidR="003D07D7" w:rsidRPr="00430059" w:rsidRDefault="003D07D7" w:rsidP="00EE0B89">
            <w:pPr>
              <w:pStyle w:val="Els-body-text"/>
              <w:rPr>
                <w:rFonts w:ascii="Arial" w:hAnsi="Arial" w:cs="Arial"/>
                <w:sz w:val="18"/>
                <w:szCs w:val="18"/>
              </w:rPr>
            </w:pPr>
            <w:r w:rsidRPr="00430059">
              <w:rPr>
                <w:rFonts w:ascii="Arial" w:hAnsi="Arial" w:cs="Arial"/>
                <w:sz w:val="18"/>
                <w:szCs w:val="18"/>
              </w:rPr>
              <w:t>(3)</w:t>
            </w:r>
          </w:p>
        </w:tc>
      </w:tr>
    </w:tbl>
    <w:p w14:paraId="6E023C96" w14:textId="77777777" w:rsidR="003D07D7" w:rsidRPr="00430059" w:rsidRDefault="003D07D7" w:rsidP="00AE3FA7">
      <w:pPr>
        <w:pStyle w:val="CETBodytext"/>
        <w:rPr>
          <w:lang w:val="en-GB"/>
        </w:rPr>
      </w:pPr>
    </w:p>
    <w:p w14:paraId="03794055" w14:textId="67DEA416" w:rsidR="003D07D7" w:rsidRPr="00430059" w:rsidRDefault="003D07D7" w:rsidP="00AE3FA7">
      <w:pPr>
        <w:pStyle w:val="CETBodytext"/>
        <w:rPr>
          <w:lang w:val="en-GB"/>
        </w:rPr>
      </w:pPr>
      <w:r w:rsidRPr="00430059">
        <w:rPr>
          <w:lang w:val="en-GB"/>
        </w:rPr>
        <w:t>The equations below (4-16) were applied to estimate the economic parameters of the poultry litter pyrolysis process</w:t>
      </w:r>
      <w:r w:rsidR="005F57BD" w:rsidRPr="00430059">
        <w:rPr>
          <w:lang w:val="en-GB"/>
        </w:rPr>
        <w:t xml:space="preserve"> </w:t>
      </w:r>
      <w:r w:rsidR="005F57BD" w:rsidRPr="00430059">
        <w:rPr>
          <w:rFonts w:cs="Arial"/>
          <w:szCs w:val="18"/>
          <w:shd w:val="clear" w:color="auto" w:fill="FFFFFF"/>
        </w:rPr>
        <w:fldChar w:fldCharType="begin" w:fldLock="1"/>
      </w:r>
      <w:r w:rsidR="002143FD" w:rsidRPr="00430059">
        <w:rPr>
          <w:rFonts w:cs="Arial"/>
          <w:szCs w:val="18"/>
          <w:shd w:val="clear" w:color="auto" w:fill="FFFFFF"/>
        </w:rPr>
        <w:instrText>ADDIN CSL_CITATION {"citationItems":[{"id":"ITEM-1","itemData":{"DOI":"10.1016/J.ECMX.2023.100467","ISSN":"2590-1745","abstract":"Global population growth, booming economies, and modernization are all contributing to increased waste generation, including in Qatar. A more sustainable waste treatment strategy is therefore essential to reaching Qatar's National Vision 2030. Qatar's main waste sources are municipal solid wastes and animal wastes. Both sources have high energy/chemical content and can be converted to fuels and value-added products, particularly biochar. As Qatar continues to expand its arable land, biochar has become one of the most sought-after commodities. As a result, the primary goal of this study is to identify wastes produced in large quantities in Qatar and quantify them. The secondary goal of the research is to estimate the amount of biochar that can be produced from the wastes using pyrolysis technique, as well as the country's biochar revenue potential. A life-cycle assessment of biochar production from all wastes is also performed. Furthermore, the paper discusses market intervention and carbon trading, as well as concerns and limitations associated with biochar application. The findings indicate that Qatar produces 1.8 MT of food waste, the most of any waste produced in the country. Wastepaper has the highest biochar production rate of any waste. It is expected to produce 534,969 T and 224,286 T of biochar at 250 °C and 500 °C, respectively. Among the waste feeds, wastepaper has the greatest potential for generating income from biochar. Its potential revenue is pegged at 107 million USD for 250 °C and 45 million USD for 500 °C annually.","author":[{"dropping-particle":"","family":"Parthasarathy","given":"Prakash","non-dropping-particle":"","parse-names":false,"suffix":""},{"dropping-particle":"","family":"Alherbawi","given":"Mohammad","non-dropping-particle":"","parse-names":false,"suffix":""},{"dropping-particle":"","family":"Shahbaz","given":"Muhammad","non-dropping-particle":"","parse-names":false,"suffix":""},{"dropping-particle":"","family":"Al-Ansari","given":"Tareq","non-dropping-particle":"","parse-names":false,"suffix":""},{"dropping-particle":"","family":"McKay","given":"Gordon","non-dropping-particle":"","parse-names":false,"suffix":""}],"container-title":"Energy Conversion and Management: X","id":"ITEM-1","issued":{"date-parts":[["2023","10","1"]]},"page":"100467","publisher":"Elsevier","title":"Developing biochar from potential wastes in Qatar and its revenue potential","type":"article-journal","volume":"20"},"uris":["http://www.mendeley.com/documents/?uuid=4685815c-ab9d-3646-8f66-a412b0d99584"]}],"mendeley":{"formattedCitation":"(Parthasarathy et al., 2023b)","plainTextFormattedCitation":"(Parthasarathy et al., 2023b)","previouslyFormattedCitation":"(Parthasarathy et al., 2023b)"},"properties":{"noteIndex":0},"schema":"https://github.com/citation-style-language/schema/raw/master/csl-citation.json"}</w:instrText>
      </w:r>
      <w:r w:rsidR="005F57BD" w:rsidRPr="00430059">
        <w:rPr>
          <w:rFonts w:cs="Arial"/>
          <w:szCs w:val="18"/>
          <w:shd w:val="clear" w:color="auto" w:fill="FFFFFF"/>
        </w:rPr>
        <w:fldChar w:fldCharType="separate"/>
      </w:r>
      <w:r w:rsidR="00AE3FA7" w:rsidRPr="00430059">
        <w:rPr>
          <w:rFonts w:cs="Arial"/>
          <w:noProof/>
          <w:szCs w:val="18"/>
          <w:shd w:val="clear" w:color="auto" w:fill="FFFFFF"/>
        </w:rPr>
        <w:t>(Parthasarathy et al., 2023b)</w:t>
      </w:r>
      <w:r w:rsidR="005F57BD" w:rsidRPr="00430059">
        <w:rPr>
          <w:rFonts w:cs="Arial"/>
          <w:szCs w:val="18"/>
          <w:shd w:val="clear" w:color="auto" w:fill="FFFFFF"/>
        </w:rPr>
        <w:fldChar w:fldCharType="end"/>
      </w:r>
      <w:r w:rsidRPr="00430059">
        <w:rPr>
          <w:szCs w:val="18"/>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gridCol w:w="607"/>
      </w:tblGrid>
      <w:tr w:rsidR="00430059" w:rsidRPr="00430059" w14:paraId="5F9B5B24" w14:textId="77777777" w:rsidTr="003520AC">
        <w:trPr>
          <w:trHeight w:val="1205"/>
        </w:trPr>
        <w:tc>
          <w:tcPr>
            <w:tcW w:w="4663" w:type="pct"/>
          </w:tcPr>
          <w:p w14:paraId="002FB71D" w14:textId="0685A06D" w:rsidR="003D07D7" w:rsidRPr="00430059" w:rsidRDefault="00E72291" w:rsidP="000241A2">
            <w:pPr>
              <w:pStyle w:val="CETEquation"/>
              <w:spacing w:after="0" w:line="240" w:lineRule="auto"/>
              <w:rPr>
                <w:rFonts w:cs="Arial"/>
              </w:rPr>
            </w:pPr>
            <m:oMathPara>
              <m:oMathParaPr>
                <m:jc m:val="left"/>
              </m:oMathParaPr>
              <m:oMath>
                <m:r>
                  <w:rPr>
                    <w:rFonts w:ascii="Cambria Math" w:hAnsi="Cambria Math" w:cs="Arial"/>
                  </w:rPr>
                  <m:t>Capital expense (CAPEX)</m:t>
                </m:r>
                <m:r>
                  <m:rPr>
                    <m:sty m:val="p"/>
                  </m:rPr>
                  <w:rPr>
                    <w:rFonts w:ascii="Cambria Math" w:hAnsi="Cambria Math" w:cs="Arial"/>
                  </w:rPr>
                  <m:t>=</m:t>
                </m:r>
                <m:nary>
                  <m:naryPr>
                    <m:chr m:val="∑"/>
                    <m:limLoc m:val="undOvr"/>
                    <m:subHide m:val="1"/>
                    <m:supHide m:val="1"/>
                    <m:ctrlPr>
                      <w:rPr>
                        <w:rFonts w:ascii="Cambria Math" w:hAnsi="Cambria Math" w:cs="Arial"/>
                      </w:rPr>
                    </m:ctrlPr>
                  </m:naryPr>
                  <m:sub/>
                  <m:sup/>
                  <m:e>
                    <m:r>
                      <w:rPr>
                        <w:rFonts w:ascii="Cambria Math" w:hAnsi="Cambria Math" w:cs="Arial"/>
                      </w:rPr>
                      <m:t>Purchased</m:t>
                    </m:r>
                    <m:r>
                      <m:rPr>
                        <m:sty m:val="p"/>
                      </m:rPr>
                      <w:rPr>
                        <w:rFonts w:ascii="Cambria Math" w:hAnsi="Cambria Math" w:cs="Arial"/>
                      </w:rPr>
                      <m:t xml:space="preserve"> </m:t>
                    </m:r>
                    <m:r>
                      <w:rPr>
                        <w:rFonts w:ascii="Cambria Math" w:hAnsi="Cambria Math" w:cs="Arial"/>
                      </w:rPr>
                      <m:t>equipment</m:t>
                    </m:r>
                    <m:r>
                      <m:rPr>
                        <m:sty m:val="p"/>
                      </m:rPr>
                      <w:rPr>
                        <w:rFonts w:ascii="Cambria Math" w:hAnsi="Cambria Math" w:cs="Arial"/>
                      </w:rPr>
                      <m:t>+</m:t>
                    </m:r>
                    <m:r>
                      <w:rPr>
                        <w:rFonts w:ascii="Cambria Math" w:hAnsi="Cambria Math" w:cs="Arial"/>
                      </w:rPr>
                      <m:t>Equipment</m:t>
                    </m:r>
                    <m:r>
                      <m:rPr>
                        <m:sty m:val="p"/>
                      </m:rPr>
                      <w:rPr>
                        <w:rFonts w:ascii="Cambria Math" w:hAnsi="Cambria Math" w:cs="Arial"/>
                      </w:rPr>
                      <m:t xml:space="preserve"> </m:t>
                    </m:r>
                    <m:r>
                      <w:rPr>
                        <w:rFonts w:ascii="Cambria Math" w:hAnsi="Cambria Math" w:cs="Arial"/>
                      </w:rPr>
                      <m:t>setting</m:t>
                    </m:r>
                    <m:r>
                      <m:rPr>
                        <m:sty m:val="p"/>
                      </m:rPr>
                      <w:rPr>
                        <w:rFonts w:ascii="Cambria Math" w:hAnsi="Cambria Math" w:cs="Arial"/>
                      </w:rPr>
                      <m:t>+</m:t>
                    </m:r>
                    <m:r>
                      <w:rPr>
                        <w:rFonts w:ascii="Cambria Math" w:hAnsi="Cambria Math" w:cs="Arial"/>
                      </w:rPr>
                      <m:t>Piping</m:t>
                    </m:r>
                    <m:r>
                      <m:rPr>
                        <m:sty m:val="p"/>
                      </m:rPr>
                      <w:rPr>
                        <w:rFonts w:ascii="Cambria Math" w:hAnsi="Cambria Math" w:cs="Arial"/>
                      </w:rPr>
                      <m:t>+</m:t>
                    </m:r>
                    <m:r>
                      <w:rPr>
                        <w:rFonts w:ascii="Cambria Math" w:hAnsi="Cambria Math" w:cs="Arial"/>
                      </w:rPr>
                      <m:t>Civil</m:t>
                    </m:r>
                    <m:r>
                      <m:rPr>
                        <m:sty m:val="p"/>
                      </m:rPr>
                      <w:rPr>
                        <w:rFonts w:ascii="Cambria Math" w:hAnsi="Cambria Math" w:cs="Arial"/>
                      </w:rPr>
                      <m:t>+</m:t>
                    </m:r>
                    <m:r>
                      <w:rPr>
                        <w:rFonts w:ascii="Cambria Math" w:hAnsi="Cambria Math" w:cs="Arial"/>
                      </w:rPr>
                      <m:t>Steel</m:t>
                    </m:r>
                    <m:r>
                      <m:rPr>
                        <m:sty m:val="p"/>
                      </m:rPr>
                      <w:rPr>
                        <w:rFonts w:ascii="Cambria Math" w:hAnsi="Cambria Math" w:cs="Arial"/>
                      </w:rPr>
                      <m:t>+</m:t>
                    </m:r>
                    <m:r>
                      <w:rPr>
                        <w:rFonts w:ascii="Cambria Math" w:hAnsi="Cambria Math" w:cs="Arial"/>
                      </w:rPr>
                      <m:t>Instrumentation</m:t>
                    </m:r>
                    <m:r>
                      <m:rPr>
                        <m:sty m:val="p"/>
                      </m:rPr>
                      <w:rPr>
                        <w:rFonts w:ascii="Cambria Math" w:hAnsi="Cambria Math" w:cs="Arial"/>
                      </w:rPr>
                      <m:t>+</m:t>
                    </m:r>
                    <m:r>
                      <w:rPr>
                        <w:rFonts w:ascii="Cambria Math" w:hAnsi="Cambria Math" w:cs="Arial"/>
                      </w:rPr>
                      <m:t>Electrical</m:t>
                    </m:r>
                    <m:r>
                      <m:rPr>
                        <m:sty m:val="p"/>
                      </m:rPr>
                      <w:rPr>
                        <w:rFonts w:ascii="Cambria Math" w:hAnsi="Cambria Math" w:cs="Arial"/>
                      </w:rPr>
                      <m:t>+</m:t>
                    </m:r>
                    <m:r>
                      <w:rPr>
                        <w:rFonts w:ascii="Cambria Math" w:hAnsi="Cambria Math" w:cs="Arial"/>
                      </w:rPr>
                      <m:t>Insulation</m:t>
                    </m:r>
                    <m:r>
                      <m:rPr>
                        <m:sty m:val="p"/>
                      </m:rPr>
                      <w:rPr>
                        <w:rFonts w:ascii="Cambria Math" w:hAnsi="Cambria Math" w:cs="Arial"/>
                      </w:rPr>
                      <m:t>+</m:t>
                    </m:r>
                    <m:r>
                      <w:rPr>
                        <w:rFonts w:ascii="Cambria Math" w:hAnsi="Cambria Math" w:cs="Arial"/>
                      </w:rPr>
                      <m:t>Paint</m:t>
                    </m:r>
                    <m:r>
                      <m:rPr>
                        <m:sty m:val="p"/>
                      </m:rPr>
                      <w:rPr>
                        <w:rFonts w:ascii="Cambria Math" w:hAnsi="Cambria Math" w:cs="Arial"/>
                      </w:rPr>
                      <m:t>+</m:t>
                    </m:r>
                    <m:r>
                      <w:rPr>
                        <w:rFonts w:ascii="Cambria Math" w:hAnsi="Cambria Math" w:cs="Arial"/>
                      </w:rPr>
                      <m:t>Contract</m:t>
                    </m:r>
                    <m:r>
                      <m:rPr>
                        <m:sty m:val="p"/>
                      </m:rPr>
                      <w:rPr>
                        <w:rFonts w:ascii="Cambria Math" w:hAnsi="Cambria Math" w:cs="Arial"/>
                      </w:rPr>
                      <m:t xml:space="preserve"> </m:t>
                    </m:r>
                    <m:r>
                      <w:rPr>
                        <w:rFonts w:ascii="Cambria Math" w:hAnsi="Cambria Math" w:cs="Arial"/>
                      </w:rPr>
                      <m:t>fees</m:t>
                    </m:r>
                    <m:r>
                      <m:rPr>
                        <m:sty m:val="p"/>
                      </m:rPr>
                      <w:rPr>
                        <w:rFonts w:ascii="Cambria Math" w:hAnsi="Cambria Math" w:cs="Arial"/>
                      </w:rPr>
                      <m:t>+</m:t>
                    </m:r>
                    <m:r>
                      <w:rPr>
                        <w:rFonts w:ascii="Cambria Math" w:hAnsi="Cambria Math" w:cs="Arial"/>
                      </w:rPr>
                      <m:t>General</m:t>
                    </m:r>
                    <m:r>
                      <m:rPr>
                        <m:sty m:val="p"/>
                      </m:rPr>
                      <w:rPr>
                        <w:rFonts w:ascii="Cambria Math" w:hAnsi="Cambria Math" w:cs="Arial"/>
                      </w:rPr>
                      <m:t xml:space="preserve"> </m:t>
                    </m:r>
                    <m:r>
                      <w:rPr>
                        <w:rFonts w:ascii="Cambria Math" w:hAnsi="Cambria Math" w:cs="Arial"/>
                      </w:rPr>
                      <m:t>and</m:t>
                    </m:r>
                    <m:r>
                      <m:rPr>
                        <m:sty m:val="p"/>
                      </m:rPr>
                      <w:rPr>
                        <w:rFonts w:ascii="Cambria Math" w:hAnsi="Cambria Math" w:cs="Arial"/>
                      </w:rPr>
                      <m:t xml:space="preserve"> </m:t>
                    </m:r>
                    <m:r>
                      <w:rPr>
                        <w:rFonts w:ascii="Cambria Math" w:hAnsi="Cambria Math" w:cs="Arial"/>
                      </w:rPr>
                      <m:t>administrative</m:t>
                    </m:r>
                    <m:r>
                      <m:rPr>
                        <m:sty m:val="p"/>
                      </m:rPr>
                      <w:rPr>
                        <w:rFonts w:ascii="Cambria Math" w:hAnsi="Cambria Math" w:cs="Arial"/>
                      </w:rPr>
                      <m:t xml:space="preserve"> </m:t>
                    </m:r>
                    <m:r>
                      <w:rPr>
                        <w:rFonts w:ascii="Cambria Math" w:hAnsi="Cambria Math" w:cs="Arial"/>
                      </w:rPr>
                      <m:t>overheads</m:t>
                    </m:r>
                    <m:r>
                      <m:rPr>
                        <m:sty m:val="p"/>
                      </m:rPr>
                      <w:rPr>
                        <w:rFonts w:ascii="Cambria Math" w:hAnsi="Cambria Math" w:cs="Arial"/>
                      </w:rPr>
                      <m:t>+</m:t>
                    </m:r>
                    <m:r>
                      <w:rPr>
                        <w:rFonts w:ascii="Cambria Math" w:hAnsi="Cambria Math" w:cs="Arial"/>
                      </w:rPr>
                      <m:t>Contingencies</m:t>
                    </m:r>
                    <m:r>
                      <m:rPr>
                        <m:sty m:val="p"/>
                      </m:rPr>
                      <w:rPr>
                        <w:rFonts w:ascii="Cambria Math" w:hAnsi="Cambria Math" w:cs="Arial"/>
                      </w:rPr>
                      <m:t xml:space="preserve">                          </m:t>
                    </m:r>
                  </m:e>
                </m:nary>
              </m:oMath>
            </m:oMathPara>
          </w:p>
        </w:tc>
        <w:tc>
          <w:tcPr>
            <w:tcW w:w="337" w:type="pct"/>
          </w:tcPr>
          <w:p w14:paraId="4190806B" w14:textId="77777777" w:rsidR="003D07D7" w:rsidRPr="00430059" w:rsidRDefault="003D07D7" w:rsidP="000241A2">
            <w:pPr>
              <w:pStyle w:val="CETEquation"/>
              <w:spacing w:after="0" w:line="240" w:lineRule="auto"/>
              <w:rPr>
                <w:rFonts w:cs="Arial"/>
              </w:rPr>
            </w:pPr>
            <w:r w:rsidRPr="00430059">
              <w:rPr>
                <w:rFonts w:cs="Arial"/>
              </w:rPr>
              <w:t>(4)</w:t>
            </w:r>
          </w:p>
        </w:tc>
      </w:tr>
      <w:tr w:rsidR="00430059" w:rsidRPr="00430059" w14:paraId="650A1FAE" w14:textId="77777777" w:rsidTr="003520AC">
        <w:trPr>
          <w:trHeight w:val="422"/>
        </w:trPr>
        <w:tc>
          <w:tcPr>
            <w:tcW w:w="4663" w:type="pct"/>
          </w:tcPr>
          <w:p w14:paraId="66046D3C" w14:textId="5A844100" w:rsidR="003D07D7" w:rsidRPr="00430059" w:rsidRDefault="003D07D7" w:rsidP="000241A2">
            <w:pPr>
              <w:pStyle w:val="CETEquation"/>
              <w:spacing w:after="0" w:line="240" w:lineRule="auto"/>
              <w:rPr>
                <w:rFonts w:cs="Arial"/>
              </w:rPr>
            </w:pPr>
            <m:oMathPara>
              <m:oMathParaPr>
                <m:jc m:val="left"/>
              </m:oMathParaPr>
              <m:oMath>
                <m:r>
                  <w:rPr>
                    <w:rFonts w:ascii="Cambria Math" w:hAnsi="Cambria Math" w:cs="Arial"/>
                  </w:rPr>
                  <m:t>Working</m:t>
                </m:r>
                <m:r>
                  <m:rPr>
                    <m:sty m:val="p"/>
                  </m:rPr>
                  <w:rPr>
                    <w:rFonts w:ascii="Cambria Math" w:hAnsi="Cambria Math" w:cs="Arial"/>
                  </w:rPr>
                  <m:t xml:space="preserve"> </m:t>
                </m:r>
                <m:r>
                  <w:rPr>
                    <w:rFonts w:ascii="Cambria Math" w:hAnsi="Cambria Math" w:cs="Arial"/>
                  </w:rPr>
                  <m:t>capital</m:t>
                </m:r>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 xml:space="preserve">5 % </m:t>
                    </m:r>
                    <m:r>
                      <w:rPr>
                        <w:rFonts w:ascii="Cambria Math" w:hAnsi="Cambria Math" w:cs="Arial"/>
                      </w:rPr>
                      <m:t>of</m:t>
                    </m:r>
                    <m:r>
                      <m:rPr>
                        <m:sty m:val="p"/>
                      </m:rPr>
                      <w:rPr>
                        <w:rFonts w:ascii="Cambria Math" w:hAnsi="Cambria Math" w:cs="Arial"/>
                      </w:rPr>
                      <m:t xml:space="preserve"> </m:t>
                    </m:r>
                    <m:r>
                      <w:rPr>
                        <w:rFonts w:ascii="Cambria Math" w:hAnsi="Cambria Math" w:cs="Arial"/>
                      </w:rPr>
                      <m:t>CAPEX</m:t>
                    </m:r>
                  </m:num>
                  <m:den>
                    <m:r>
                      <w:rPr>
                        <w:rFonts w:ascii="Cambria Math" w:hAnsi="Cambria Math" w:cs="Arial"/>
                      </w:rPr>
                      <m:t>lifetime</m:t>
                    </m:r>
                  </m:den>
                </m:f>
              </m:oMath>
            </m:oMathPara>
          </w:p>
        </w:tc>
        <w:tc>
          <w:tcPr>
            <w:tcW w:w="337" w:type="pct"/>
          </w:tcPr>
          <w:p w14:paraId="52DF8BFC" w14:textId="77777777" w:rsidR="003D07D7" w:rsidRPr="00430059" w:rsidRDefault="003D07D7" w:rsidP="000241A2">
            <w:pPr>
              <w:pStyle w:val="CETEquation"/>
              <w:spacing w:after="0" w:line="240" w:lineRule="auto"/>
              <w:rPr>
                <w:rFonts w:eastAsia="Calibri" w:cs="Arial"/>
              </w:rPr>
            </w:pPr>
            <w:r w:rsidRPr="00430059">
              <w:rPr>
                <w:rFonts w:eastAsia="Calibri" w:cs="Arial"/>
              </w:rPr>
              <w:t>(5)</w:t>
            </w:r>
          </w:p>
        </w:tc>
      </w:tr>
      <w:tr w:rsidR="00430059" w:rsidRPr="00430059" w14:paraId="5043EA74" w14:textId="77777777" w:rsidTr="003520AC">
        <w:trPr>
          <w:trHeight w:val="548"/>
        </w:trPr>
        <w:tc>
          <w:tcPr>
            <w:tcW w:w="4663" w:type="pct"/>
          </w:tcPr>
          <w:p w14:paraId="506E4DF2" w14:textId="6A66D852" w:rsidR="003D07D7" w:rsidRPr="00430059" w:rsidRDefault="00E72291" w:rsidP="000241A2">
            <w:pPr>
              <w:pStyle w:val="CETEquation"/>
              <w:spacing w:after="0" w:line="240" w:lineRule="auto"/>
              <w:rPr>
                <w:rFonts w:eastAsia="Calibri" w:cs="Arial"/>
              </w:rPr>
            </w:pPr>
            <m:oMathPara>
              <m:oMathParaPr>
                <m:jc m:val="left"/>
              </m:oMathParaPr>
              <m:oMath>
                <m:r>
                  <w:rPr>
                    <w:rFonts w:ascii="Cambria Math" w:hAnsi="Cambria Math" w:cs="Arial"/>
                  </w:rPr>
                  <m:t>Operating expense (OPEX)</m:t>
                </m:r>
                <m:r>
                  <m:rPr>
                    <m:sty m:val="p"/>
                  </m:rPr>
                  <w:rPr>
                    <w:rFonts w:ascii="Cambria Math" w:hAnsi="Cambria Math" w:cs="Arial"/>
                  </w:rPr>
                  <m:t xml:space="preserve">= </m:t>
                </m:r>
                <m:nary>
                  <m:naryPr>
                    <m:chr m:val="∑"/>
                    <m:limLoc m:val="undOvr"/>
                    <m:subHide m:val="1"/>
                    <m:supHide m:val="1"/>
                    <m:ctrlPr>
                      <w:rPr>
                        <w:rFonts w:ascii="Cambria Math" w:hAnsi="Cambria Math" w:cs="Arial"/>
                      </w:rPr>
                    </m:ctrlPr>
                  </m:naryPr>
                  <m:sub/>
                  <m:sup/>
                  <m:e>
                    <m:r>
                      <w:rPr>
                        <w:rFonts w:ascii="Cambria Math" w:hAnsi="Cambria Math" w:cs="Arial"/>
                      </w:rPr>
                      <m:t>Feedstocks</m:t>
                    </m:r>
                    <m:r>
                      <m:rPr>
                        <m:sty m:val="p"/>
                      </m:rPr>
                      <w:rPr>
                        <w:rFonts w:ascii="Cambria Math" w:hAnsi="Cambria Math" w:cs="Arial"/>
                      </w:rPr>
                      <m:t xml:space="preserve"> +</m:t>
                    </m:r>
                    <m:r>
                      <w:rPr>
                        <w:rFonts w:ascii="Cambria Math" w:hAnsi="Cambria Math" w:cs="Arial"/>
                      </w:rPr>
                      <m:t>Operating</m:t>
                    </m:r>
                    <m:r>
                      <m:rPr>
                        <m:sty m:val="p"/>
                      </m:rPr>
                      <w:rPr>
                        <w:rFonts w:ascii="Cambria Math" w:hAnsi="Cambria Math" w:cs="Arial"/>
                      </w:rPr>
                      <m:t xml:space="preserve"> </m:t>
                    </m:r>
                    <m:r>
                      <w:rPr>
                        <w:rFonts w:ascii="Cambria Math" w:hAnsi="Cambria Math" w:cs="Arial"/>
                      </w:rPr>
                      <m:t>charges</m:t>
                    </m:r>
                    <m:r>
                      <m:rPr>
                        <m:sty m:val="p"/>
                      </m:rPr>
                      <w:rPr>
                        <w:rFonts w:ascii="Cambria Math" w:hAnsi="Cambria Math" w:cs="Arial"/>
                      </w:rPr>
                      <m:t>+</m:t>
                    </m:r>
                    <m:r>
                      <w:rPr>
                        <w:rFonts w:ascii="Cambria Math" w:hAnsi="Cambria Math" w:cs="Arial"/>
                      </w:rPr>
                      <m:t>Labor</m:t>
                    </m:r>
                    <m:r>
                      <m:rPr>
                        <m:sty m:val="p"/>
                      </m:rPr>
                      <w:rPr>
                        <w:rFonts w:ascii="Cambria Math" w:hAnsi="Cambria Math" w:cs="Arial"/>
                      </w:rPr>
                      <m:t xml:space="preserve"> </m:t>
                    </m:r>
                    <m:r>
                      <w:rPr>
                        <w:rFonts w:ascii="Cambria Math" w:hAnsi="Cambria Math" w:cs="Arial"/>
                      </w:rPr>
                      <m:t>charges</m:t>
                    </m:r>
                    <m:r>
                      <m:rPr>
                        <m:sty m:val="p"/>
                      </m:rPr>
                      <w:rPr>
                        <w:rFonts w:ascii="Cambria Math" w:hAnsi="Cambria Math" w:cs="Arial"/>
                      </w:rPr>
                      <m:t>+</m:t>
                    </m:r>
                    <m:r>
                      <w:rPr>
                        <w:rFonts w:ascii="Cambria Math" w:hAnsi="Cambria Math" w:cs="Arial"/>
                      </w:rPr>
                      <m:t>maintenance</m:t>
                    </m:r>
                    <m:r>
                      <m:rPr>
                        <m:sty m:val="p"/>
                      </m:rPr>
                      <w:rPr>
                        <w:rFonts w:ascii="Cambria Math" w:hAnsi="Cambria Math" w:cs="Arial"/>
                      </w:rPr>
                      <m:t xml:space="preserve"> </m:t>
                    </m:r>
                    <m:r>
                      <w:rPr>
                        <w:rFonts w:ascii="Cambria Math" w:hAnsi="Cambria Math" w:cs="Arial"/>
                      </w:rPr>
                      <m:t>cost</m:t>
                    </m:r>
                    <m:r>
                      <m:rPr>
                        <m:sty m:val="p"/>
                      </m:rPr>
                      <w:rPr>
                        <w:rFonts w:ascii="Cambria Math" w:hAnsi="Cambria Math" w:cs="Arial"/>
                      </w:rPr>
                      <m:t>+</m:t>
                    </m:r>
                    <m:r>
                      <w:rPr>
                        <w:rFonts w:ascii="Cambria Math" w:hAnsi="Cambria Math" w:cs="Arial"/>
                      </w:rPr>
                      <m:t>Plant</m:t>
                    </m:r>
                    <m:r>
                      <m:rPr>
                        <m:sty m:val="p"/>
                      </m:rPr>
                      <w:rPr>
                        <w:rFonts w:ascii="Cambria Math" w:hAnsi="Cambria Math" w:cs="Arial"/>
                      </w:rPr>
                      <m:t xml:space="preserve"> </m:t>
                    </m:r>
                    <m:r>
                      <w:rPr>
                        <w:rFonts w:ascii="Cambria Math" w:hAnsi="Cambria Math" w:cs="Arial"/>
                      </w:rPr>
                      <m:t>overhead</m:t>
                    </m:r>
                    <m:r>
                      <m:rPr>
                        <m:sty m:val="p"/>
                      </m:rPr>
                      <w:rPr>
                        <w:rFonts w:ascii="Cambria Math" w:hAnsi="Cambria Math" w:cs="Arial"/>
                      </w:rPr>
                      <m:t>+</m:t>
                    </m:r>
                    <m:r>
                      <w:rPr>
                        <w:rFonts w:ascii="Cambria Math" w:hAnsi="Cambria Math" w:cs="Arial"/>
                      </w:rPr>
                      <m:t>General</m:t>
                    </m:r>
                    <m:r>
                      <m:rPr>
                        <m:sty m:val="p"/>
                      </m:rPr>
                      <w:rPr>
                        <w:rFonts w:ascii="Cambria Math" w:hAnsi="Cambria Math" w:cs="Arial"/>
                      </w:rPr>
                      <m:t xml:space="preserve"> </m:t>
                    </m:r>
                    <m:r>
                      <w:rPr>
                        <w:rFonts w:ascii="Cambria Math" w:hAnsi="Cambria Math" w:cs="Arial"/>
                      </w:rPr>
                      <m:t>and</m:t>
                    </m:r>
                    <m:r>
                      <m:rPr>
                        <m:sty m:val="p"/>
                      </m:rPr>
                      <w:rPr>
                        <w:rFonts w:ascii="Cambria Math" w:hAnsi="Cambria Math" w:cs="Arial"/>
                      </w:rPr>
                      <m:t xml:space="preserve"> </m:t>
                    </m:r>
                    <m:r>
                      <w:rPr>
                        <w:rFonts w:ascii="Cambria Math" w:hAnsi="Cambria Math" w:cs="Arial"/>
                      </w:rPr>
                      <m:t>admistrative</m:t>
                    </m:r>
                    <m:r>
                      <m:rPr>
                        <m:sty m:val="p"/>
                      </m:rPr>
                      <w:rPr>
                        <w:rFonts w:ascii="Cambria Math" w:hAnsi="Cambria Math" w:cs="Arial"/>
                      </w:rPr>
                      <m:t xml:space="preserve"> </m:t>
                    </m:r>
                    <m:r>
                      <w:rPr>
                        <w:rFonts w:ascii="Cambria Math" w:hAnsi="Cambria Math" w:cs="Arial"/>
                      </w:rPr>
                      <m:t>overheads</m:t>
                    </m:r>
                    <m:r>
                      <m:rPr>
                        <m:sty m:val="p"/>
                      </m:rPr>
                      <w:rPr>
                        <w:rFonts w:ascii="Cambria Math" w:hAnsi="Cambria Math" w:cs="Arial"/>
                      </w:rPr>
                      <m:t xml:space="preserve">                         </m:t>
                    </m:r>
                  </m:e>
                </m:nary>
              </m:oMath>
            </m:oMathPara>
          </w:p>
        </w:tc>
        <w:tc>
          <w:tcPr>
            <w:tcW w:w="337" w:type="pct"/>
          </w:tcPr>
          <w:p w14:paraId="32B120CB" w14:textId="77777777" w:rsidR="003D07D7" w:rsidRPr="00430059" w:rsidRDefault="003D07D7" w:rsidP="000241A2">
            <w:pPr>
              <w:pStyle w:val="CETEquation"/>
              <w:spacing w:after="0" w:line="240" w:lineRule="auto"/>
              <w:rPr>
                <w:rFonts w:eastAsia="Calibri" w:cs="Arial"/>
              </w:rPr>
            </w:pPr>
            <w:r w:rsidRPr="00430059">
              <w:rPr>
                <w:rFonts w:eastAsia="Calibri" w:cs="Arial"/>
              </w:rPr>
              <w:t>(6)</w:t>
            </w:r>
          </w:p>
        </w:tc>
      </w:tr>
      <w:tr w:rsidR="00430059" w:rsidRPr="00430059" w14:paraId="0BE044B7" w14:textId="77777777" w:rsidTr="003520AC">
        <w:trPr>
          <w:trHeight w:val="638"/>
        </w:trPr>
        <w:tc>
          <w:tcPr>
            <w:tcW w:w="4663" w:type="pct"/>
          </w:tcPr>
          <w:p w14:paraId="588654C2" w14:textId="4755FF24" w:rsidR="003D07D7" w:rsidRPr="00430059" w:rsidRDefault="003D07D7" w:rsidP="000241A2">
            <w:pPr>
              <w:pStyle w:val="CETEquation"/>
              <w:spacing w:after="0" w:line="240" w:lineRule="auto"/>
              <w:rPr>
                <w:rFonts w:eastAsia="Calibri" w:cs="Arial"/>
              </w:rPr>
            </w:pPr>
            <m:oMathPara>
              <m:oMathParaPr>
                <m:jc m:val="left"/>
              </m:oMathParaPr>
              <m:oMath>
                <m:r>
                  <w:rPr>
                    <w:rFonts w:ascii="Cambria Math" w:hAnsi="Cambria Math" w:cs="Arial"/>
                  </w:rPr>
                  <m:t>Subtotal</m:t>
                </m:r>
                <m:r>
                  <m:rPr>
                    <m:sty m:val="p"/>
                  </m:rPr>
                  <w:rPr>
                    <w:rFonts w:ascii="Cambria Math" w:hAnsi="Cambria Math" w:cs="Arial"/>
                  </w:rPr>
                  <m:t xml:space="preserve"> </m:t>
                </m:r>
                <m:r>
                  <w:rPr>
                    <w:rFonts w:ascii="Cambria Math" w:hAnsi="Cambria Math" w:cs="Arial"/>
                  </w:rPr>
                  <m:t>OPEX</m:t>
                </m:r>
                <m:r>
                  <m:rPr>
                    <m:sty m:val="p"/>
                  </m:rPr>
                  <w:rPr>
                    <w:rFonts w:ascii="Cambria Math" w:hAnsi="Cambria Math" w:cs="Arial"/>
                  </w:rPr>
                  <m:t xml:space="preserve">= </m:t>
                </m:r>
                <m:nary>
                  <m:naryPr>
                    <m:chr m:val="∑"/>
                    <m:limLoc m:val="undOvr"/>
                    <m:subHide m:val="1"/>
                    <m:supHide m:val="1"/>
                    <m:ctrlPr>
                      <w:rPr>
                        <w:rFonts w:ascii="Cambria Math" w:hAnsi="Cambria Math" w:cs="Arial"/>
                      </w:rPr>
                    </m:ctrlPr>
                  </m:naryPr>
                  <m:sub/>
                  <m:sup/>
                  <m:e>
                    <m:r>
                      <w:rPr>
                        <w:rFonts w:ascii="Cambria Math" w:hAnsi="Cambria Math" w:cs="Arial"/>
                      </w:rPr>
                      <m:t>Operating</m:t>
                    </m:r>
                    <m:r>
                      <m:rPr>
                        <m:sty m:val="p"/>
                      </m:rPr>
                      <w:rPr>
                        <w:rFonts w:ascii="Cambria Math" w:hAnsi="Cambria Math" w:cs="Arial"/>
                      </w:rPr>
                      <m:t xml:space="preserve"> </m:t>
                    </m:r>
                    <m:r>
                      <w:rPr>
                        <w:rFonts w:ascii="Cambria Math" w:hAnsi="Cambria Math" w:cs="Arial"/>
                      </w:rPr>
                      <m:t>charges</m:t>
                    </m:r>
                    <m:r>
                      <m:rPr>
                        <m:sty m:val="p"/>
                      </m:rPr>
                      <w:rPr>
                        <w:rFonts w:ascii="Cambria Math" w:hAnsi="Cambria Math" w:cs="Arial"/>
                      </w:rPr>
                      <m:t>+</m:t>
                    </m:r>
                    <m:r>
                      <w:rPr>
                        <w:rFonts w:ascii="Cambria Math" w:hAnsi="Cambria Math" w:cs="Arial"/>
                      </w:rPr>
                      <m:t>Labor</m:t>
                    </m:r>
                    <m:r>
                      <m:rPr>
                        <m:sty m:val="p"/>
                      </m:rPr>
                      <w:rPr>
                        <w:rFonts w:ascii="Cambria Math" w:hAnsi="Cambria Math" w:cs="Arial"/>
                      </w:rPr>
                      <m:t xml:space="preserve"> </m:t>
                    </m:r>
                    <m:r>
                      <w:rPr>
                        <w:rFonts w:ascii="Cambria Math" w:hAnsi="Cambria Math" w:cs="Arial"/>
                      </w:rPr>
                      <m:t>charges</m:t>
                    </m:r>
                    <m:r>
                      <m:rPr>
                        <m:sty m:val="p"/>
                      </m:rPr>
                      <w:rPr>
                        <w:rFonts w:ascii="Cambria Math" w:hAnsi="Cambria Math" w:cs="Arial"/>
                      </w:rPr>
                      <m:t>+</m:t>
                    </m:r>
                    <m:r>
                      <w:rPr>
                        <w:rFonts w:ascii="Cambria Math" w:hAnsi="Cambria Math" w:cs="Arial"/>
                      </w:rPr>
                      <m:t>maintenance</m:t>
                    </m:r>
                    <m:r>
                      <m:rPr>
                        <m:sty m:val="p"/>
                      </m:rPr>
                      <w:rPr>
                        <w:rFonts w:ascii="Cambria Math" w:hAnsi="Cambria Math" w:cs="Arial"/>
                      </w:rPr>
                      <m:t xml:space="preserve"> </m:t>
                    </m:r>
                    <m:r>
                      <w:rPr>
                        <w:rFonts w:ascii="Cambria Math" w:hAnsi="Cambria Math" w:cs="Arial"/>
                      </w:rPr>
                      <m:t>cost</m:t>
                    </m:r>
                    <m:r>
                      <m:rPr>
                        <m:sty m:val="p"/>
                      </m:rPr>
                      <w:rPr>
                        <w:rFonts w:ascii="Cambria Math" w:hAnsi="Cambria Math" w:cs="Arial"/>
                      </w:rPr>
                      <m:t>+</m:t>
                    </m:r>
                    <m:r>
                      <w:rPr>
                        <w:rFonts w:ascii="Cambria Math" w:hAnsi="Cambria Math" w:cs="Arial"/>
                      </w:rPr>
                      <m:t>Plant</m:t>
                    </m:r>
                    <m:r>
                      <m:rPr>
                        <m:sty m:val="p"/>
                      </m:rPr>
                      <w:rPr>
                        <w:rFonts w:ascii="Cambria Math" w:hAnsi="Cambria Math" w:cs="Arial"/>
                      </w:rPr>
                      <m:t xml:space="preserve"> </m:t>
                    </m:r>
                    <m:r>
                      <w:rPr>
                        <w:rFonts w:ascii="Cambria Math" w:hAnsi="Cambria Math" w:cs="Arial"/>
                      </w:rPr>
                      <m:t>overhead</m:t>
                    </m:r>
                    <m:r>
                      <m:rPr>
                        <m:sty m:val="p"/>
                      </m:rPr>
                      <w:rPr>
                        <w:rFonts w:ascii="Cambria Math" w:hAnsi="Cambria Math" w:cs="Arial"/>
                      </w:rPr>
                      <m:t xml:space="preserve">                                                          </m:t>
                    </m:r>
                  </m:e>
                </m:nary>
              </m:oMath>
            </m:oMathPara>
          </w:p>
        </w:tc>
        <w:tc>
          <w:tcPr>
            <w:tcW w:w="337" w:type="pct"/>
          </w:tcPr>
          <w:p w14:paraId="346E708B" w14:textId="77777777" w:rsidR="003D07D7" w:rsidRPr="00430059" w:rsidRDefault="003D07D7" w:rsidP="000241A2">
            <w:pPr>
              <w:pStyle w:val="CETEquation"/>
              <w:spacing w:after="0" w:line="240" w:lineRule="auto"/>
              <w:rPr>
                <w:rFonts w:eastAsia="Calibri" w:cs="Arial"/>
              </w:rPr>
            </w:pPr>
            <w:r w:rsidRPr="00430059">
              <w:rPr>
                <w:rFonts w:eastAsia="Calibri" w:cs="Arial"/>
              </w:rPr>
              <w:t>(7)</w:t>
            </w:r>
          </w:p>
        </w:tc>
      </w:tr>
      <w:tr w:rsidR="00430059" w:rsidRPr="00430059" w14:paraId="3C311DEF" w14:textId="77777777" w:rsidTr="003520AC">
        <w:trPr>
          <w:trHeight w:val="268"/>
        </w:trPr>
        <w:tc>
          <w:tcPr>
            <w:tcW w:w="4663" w:type="pct"/>
          </w:tcPr>
          <w:p w14:paraId="35B8C725" w14:textId="77777777" w:rsidR="003D07D7" w:rsidRPr="00430059" w:rsidRDefault="003D07D7" w:rsidP="000241A2">
            <w:pPr>
              <w:pStyle w:val="CETEquation"/>
              <w:spacing w:after="0" w:line="240" w:lineRule="auto"/>
              <w:rPr>
                <w:rFonts w:eastAsia="Calibri" w:cs="Arial"/>
              </w:rPr>
            </w:pPr>
            <m:oMathPara>
              <m:oMathParaPr>
                <m:jc m:val="left"/>
              </m:oMathParaPr>
              <m:oMath>
                <m:r>
                  <w:rPr>
                    <w:rFonts w:ascii="Cambria Math" w:hAnsi="Cambria Math" w:cs="Arial"/>
                  </w:rPr>
                  <m:t>Labor</m:t>
                </m:r>
                <m:r>
                  <m:rPr>
                    <m:sty m:val="p"/>
                  </m:rPr>
                  <w:rPr>
                    <w:rFonts w:ascii="Cambria Math" w:hAnsi="Cambria Math" w:cs="Arial"/>
                  </w:rPr>
                  <m:t xml:space="preserve"> </m:t>
                </m:r>
                <m:r>
                  <w:rPr>
                    <w:rFonts w:ascii="Cambria Math" w:hAnsi="Cambria Math" w:cs="Arial"/>
                  </w:rPr>
                  <m:t>charges</m:t>
                </m:r>
                <m:r>
                  <m:rPr>
                    <m:sty m:val="p"/>
                  </m:rPr>
                  <w:rPr>
                    <w:rFonts w:ascii="Cambria Math" w:hAnsi="Cambria Math" w:cs="Arial"/>
                  </w:rPr>
                  <m:t>=</m:t>
                </m:r>
                <m:d>
                  <m:dPr>
                    <m:ctrlPr>
                      <w:rPr>
                        <w:rFonts w:ascii="Cambria Math" w:hAnsi="Cambria Math" w:cs="Arial"/>
                      </w:rPr>
                    </m:ctrlPr>
                  </m:dPr>
                  <m:e>
                    <m:r>
                      <w:rPr>
                        <w:rFonts w:ascii="Cambria Math" w:hAnsi="Cambria Math" w:cs="Arial"/>
                      </w:rPr>
                      <m:t>Operators</m:t>
                    </m:r>
                    <m:r>
                      <m:rPr>
                        <m:sty m:val="p"/>
                      </m:rPr>
                      <w:rPr>
                        <w:rFonts w:ascii="Cambria Math" w:hAnsi="Cambria Math" w:cs="Arial"/>
                      </w:rPr>
                      <m:t xml:space="preserve"> </m:t>
                    </m:r>
                    <m:r>
                      <w:rPr>
                        <w:rFonts w:ascii="Cambria Math" w:hAnsi="Cambria Math" w:cs="Arial"/>
                      </w:rPr>
                      <m:t>per</m:t>
                    </m:r>
                    <m:r>
                      <m:rPr>
                        <m:sty m:val="p"/>
                      </m:rPr>
                      <w:rPr>
                        <w:rFonts w:ascii="Cambria Math" w:hAnsi="Cambria Math" w:cs="Arial"/>
                      </w:rPr>
                      <m:t xml:space="preserve"> </m:t>
                    </m:r>
                    <m:r>
                      <w:rPr>
                        <w:rFonts w:ascii="Cambria Math" w:hAnsi="Cambria Math" w:cs="Arial"/>
                      </w:rPr>
                      <m:t>shift</m:t>
                    </m:r>
                    <m:r>
                      <m:rPr>
                        <m:sty m:val="p"/>
                      </m:rPr>
                      <w:rPr>
                        <w:rFonts w:ascii="Cambria Math" w:hAnsi="Cambria Math" w:cs="Arial"/>
                      </w:rPr>
                      <m:t xml:space="preserve"> </m:t>
                    </m:r>
                    <m:r>
                      <w:rPr>
                        <w:rFonts w:ascii="Cambria Math" w:hAnsi="Cambria Math" w:cs="Arial"/>
                      </w:rPr>
                      <m:t>X</m:t>
                    </m:r>
                    <m:r>
                      <m:rPr>
                        <m:sty m:val="p"/>
                      </m:rPr>
                      <w:rPr>
                        <w:rFonts w:ascii="Cambria Math" w:hAnsi="Cambria Math" w:cs="Arial"/>
                      </w:rPr>
                      <m:t xml:space="preserve"> </m:t>
                    </m:r>
                    <m:r>
                      <w:rPr>
                        <w:rFonts w:ascii="Cambria Math" w:hAnsi="Cambria Math" w:cs="Arial"/>
                      </w:rPr>
                      <m:t>Operator</m:t>
                    </m:r>
                    <m:r>
                      <m:rPr>
                        <m:sty m:val="p"/>
                      </m:rPr>
                      <w:rPr>
                        <w:rFonts w:ascii="Cambria Math" w:hAnsi="Cambria Math" w:cs="Arial"/>
                      </w:rPr>
                      <m:t xml:space="preserve"> </m:t>
                    </m:r>
                    <m:r>
                      <w:rPr>
                        <w:rFonts w:ascii="Cambria Math" w:hAnsi="Cambria Math" w:cs="Arial"/>
                      </w:rPr>
                      <m:t>charges</m:t>
                    </m:r>
                  </m:e>
                </m:d>
                <m:r>
                  <m:rPr>
                    <m:sty m:val="p"/>
                  </m:rPr>
                  <w:rPr>
                    <w:rFonts w:ascii="Cambria Math" w:hAnsi="Cambria Math" w:cs="Arial"/>
                  </w:rPr>
                  <m:t>+ (</m:t>
                </m:r>
                <m:r>
                  <w:rPr>
                    <w:rFonts w:ascii="Cambria Math" w:hAnsi="Cambria Math" w:cs="Arial"/>
                  </w:rPr>
                  <m:t>supervisors</m:t>
                </m:r>
                <m:r>
                  <m:rPr>
                    <m:sty m:val="p"/>
                  </m:rPr>
                  <w:rPr>
                    <w:rFonts w:ascii="Cambria Math" w:hAnsi="Cambria Math" w:cs="Arial"/>
                  </w:rPr>
                  <m:t xml:space="preserve"> </m:t>
                </m:r>
                <m:r>
                  <w:rPr>
                    <w:rFonts w:ascii="Cambria Math" w:hAnsi="Cambria Math" w:cs="Arial"/>
                  </w:rPr>
                  <m:t>per</m:t>
                </m:r>
                <m:r>
                  <m:rPr>
                    <m:sty m:val="p"/>
                  </m:rPr>
                  <w:rPr>
                    <w:rFonts w:ascii="Cambria Math" w:hAnsi="Cambria Math" w:cs="Arial"/>
                  </w:rPr>
                  <m:t xml:space="preserve"> </m:t>
                </m:r>
                <m:r>
                  <w:rPr>
                    <w:rFonts w:ascii="Cambria Math" w:hAnsi="Cambria Math" w:cs="Arial"/>
                  </w:rPr>
                  <m:t>shift</m:t>
                </m:r>
                <m:r>
                  <m:rPr>
                    <m:sty m:val="p"/>
                  </m:rPr>
                  <w:rPr>
                    <w:rFonts w:ascii="Cambria Math" w:hAnsi="Cambria Math" w:cs="Arial"/>
                  </w:rPr>
                  <m:t xml:space="preserve"> </m:t>
                </m:r>
                <m:r>
                  <w:rPr>
                    <w:rFonts w:ascii="Cambria Math" w:hAnsi="Cambria Math" w:cs="Arial"/>
                  </w:rPr>
                  <m:t>X</m:t>
                </m:r>
                <m:r>
                  <m:rPr>
                    <m:sty m:val="p"/>
                  </m:rPr>
                  <w:rPr>
                    <w:rFonts w:ascii="Cambria Math" w:hAnsi="Cambria Math" w:cs="Arial"/>
                  </w:rPr>
                  <m:t xml:space="preserve"> </m:t>
                </m:r>
                <m:r>
                  <w:rPr>
                    <w:rFonts w:ascii="Cambria Math" w:hAnsi="Cambria Math" w:cs="Arial"/>
                  </w:rPr>
                  <m:t>Supervisor</m:t>
                </m:r>
                <m:r>
                  <m:rPr>
                    <m:sty m:val="p"/>
                  </m:rPr>
                  <w:rPr>
                    <w:rFonts w:ascii="Cambria Math" w:hAnsi="Cambria Math" w:cs="Arial"/>
                  </w:rPr>
                  <m:t xml:space="preserve"> </m:t>
                </m:r>
                <m:r>
                  <w:rPr>
                    <w:rFonts w:ascii="Cambria Math" w:hAnsi="Cambria Math" w:cs="Arial"/>
                  </w:rPr>
                  <m:t>charges</m:t>
                </m:r>
                <m:r>
                  <m:rPr>
                    <m:sty m:val="p"/>
                  </m:rPr>
                  <w:rPr>
                    <w:rFonts w:ascii="Cambria Math" w:hAnsi="Cambria Math" w:cs="Arial"/>
                  </w:rPr>
                  <m:t>)</m:t>
                </m:r>
              </m:oMath>
            </m:oMathPara>
          </w:p>
        </w:tc>
        <w:tc>
          <w:tcPr>
            <w:tcW w:w="337" w:type="pct"/>
          </w:tcPr>
          <w:p w14:paraId="0CBCA5CB" w14:textId="77777777" w:rsidR="003D07D7" w:rsidRPr="00430059" w:rsidRDefault="003D07D7" w:rsidP="000241A2">
            <w:pPr>
              <w:pStyle w:val="CETEquation"/>
              <w:spacing w:after="0" w:line="240" w:lineRule="auto"/>
              <w:rPr>
                <w:rFonts w:eastAsia="Calibri" w:cs="Arial"/>
              </w:rPr>
            </w:pPr>
            <w:r w:rsidRPr="00430059">
              <w:rPr>
                <w:rFonts w:eastAsia="Calibri" w:cs="Arial"/>
              </w:rPr>
              <w:t>(8)</w:t>
            </w:r>
          </w:p>
        </w:tc>
      </w:tr>
      <w:tr w:rsidR="00430059" w:rsidRPr="00430059" w14:paraId="3E5769D2" w14:textId="77777777" w:rsidTr="003520AC">
        <w:trPr>
          <w:trHeight w:val="485"/>
        </w:trPr>
        <w:tc>
          <w:tcPr>
            <w:tcW w:w="4663" w:type="pct"/>
          </w:tcPr>
          <w:p w14:paraId="435634B6" w14:textId="0B778C91" w:rsidR="003D07D7" w:rsidRPr="00430059" w:rsidRDefault="003D07D7" w:rsidP="000241A2">
            <w:pPr>
              <w:pStyle w:val="CETEquation"/>
              <w:spacing w:after="0" w:line="240" w:lineRule="auto"/>
              <w:rPr>
                <w:rFonts w:eastAsia="Calibri" w:cs="Arial"/>
              </w:rPr>
            </w:pPr>
            <m:oMathPara>
              <m:oMathParaPr>
                <m:jc m:val="left"/>
              </m:oMathParaPr>
              <m:oMath>
                <m:r>
                  <w:rPr>
                    <w:rFonts w:ascii="Cambria Math" w:hAnsi="Cambria Math" w:cs="Arial"/>
                  </w:rPr>
                  <m:t>Operating</m:t>
                </m:r>
                <m:r>
                  <m:rPr>
                    <m:sty m:val="p"/>
                  </m:rPr>
                  <w:rPr>
                    <w:rFonts w:ascii="Cambria Math" w:hAnsi="Cambria Math" w:cs="Arial"/>
                  </w:rPr>
                  <m:t xml:space="preserve"> </m:t>
                </m:r>
                <m:r>
                  <w:rPr>
                    <w:rFonts w:ascii="Cambria Math" w:hAnsi="Cambria Math" w:cs="Arial"/>
                  </w:rPr>
                  <m:t>charges</m:t>
                </m:r>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 xml:space="preserve">25 % </m:t>
                    </m:r>
                    <m:r>
                      <w:rPr>
                        <w:rFonts w:ascii="Cambria Math" w:hAnsi="Cambria Math" w:cs="Arial"/>
                      </w:rPr>
                      <m:t>of</m:t>
                    </m:r>
                    <m:r>
                      <m:rPr>
                        <m:sty m:val="p"/>
                      </m:rPr>
                      <w:rPr>
                        <w:rFonts w:ascii="Cambria Math" w:hAnsi="Cambria Math" w:cs="Arial"/>
                      </w:rPr>
                      <m:t xml:space="preserve"> </m:t>
                    </m:r>
                    <m:r>
                      <w:rPr>
                        <w:rFonts w:ascii="Cambria Math" w:hAnsi="Cambria Math" w:cs="Arial"/>
                      </w:rPr>
                      <m:t>labor</m:t>
                    </m:r>
                    <m:r>
                      <m:rPr>
                        <m:sty m:val="p"/>
                      </m:rPr>
                      <w:rPr>
                        <w:rFonts w:ascii="Cambria Math" w:hAnsi="Cambria Math" w:cs="Arial"/>
                      </w:rPr>
                      <m:t xml:space="preserve"> </m:t>
                    </m:r>
                    <m:r>
                      <w:rPr>
                        <w:rFonts w:ascii="Cambria Math" w:hAnsi="Cambria Math" w:cs="Arial"/>
                      </w:rPr>
                      <m:t>charges</m:t>
                    </m:r>
                  </m:num>
                  <m:den>
                    <m:r>
                      <w:rPr>
                        <w:rFonts w:ascii="Cambria Math" w:hAnsi="Cambria Math" w:cs="Arial"/>
                      </w:rPr>
                      <m:t>Period</m:t>
                    </m:r>
                  </m:den>
                </m:f>
              </m:oMath>
            </m:oMathPara>
          </w:p>
        </w:tc>
        <w:tc>
          <w:tcPr>
            <w:tcW w:w="337" w:type="pct"/>
          </w:tcPr>
          <w:p w14:paraId="5D31109E" w14:textId="77777777" w:rsidR="003D07D7" w:rsidRPr="00430059" w:rsidRDefault="003D07D7" w:rsidP="000241A2">
            <w:pPr>
              <w:pStyle w:val="CETEquation"/>
              <w:spacing w:after="0" w:line="240" w:lineRule="auto"/>
              <w:rPr>
                <w:rFonts w:eastAsia="Calibri" w:cs="Arial"/>
              </w:rPr>
            </w:pPr>
            <w:r w:rsidRPr="00430059">
              <w:rPr>
                <w:rFonts w:eastAsia="Calibri" w:cs="Arial"/>
              </w:rPr>
              <w:t>(9)</w:t>
            </w:r>
          </w:p>
        </w:tc>
      </w:tr>
      <w:tr w:rsidR="00430059" w:rsidRPr="00430059" w14:paraId="3F3E4A14" w14:textId="77777777" w:rsidTr="003520AC">
        <w:trPr>
          <w:trHeight w:val="449"/>
        </w:trPr>
        <w:tc>
          <w:tcPr>
            <w:tcW w:w="4663" w:type="pct"/>
          </w:tcPr>
          <w:p w14:paraId="3A8370C3" w14:textId="49EAEE4C" w:rsidR="003D07D7" w:rsidRPr="00430059" w:rsidRDefault="003D07D7" w:rsidP="000241A2">
            <w:pPr>
              <w:pStyle w:val="CETEquation"/>
              <w:spacing w:after="0" w:line="240" w:lineRule="auto"/>
              <w:rPr>
                <w:rFonts w:eastAsia="Calibri" w:cs="Arial"/>
              </w:rPr>
            </w:pPr>
            <m:oMathPara>
              <m:oMathParaPr>
                <m:jc m:val="left"/>
              </m:oMathParaPr>
              <m:oMath>
                <m:r>
                  <w:rPr>
                    <w:rFonts w:ascii="Cambria Math" w:hAnsi="Cambria Math" w:cs="Arial"/>
                  </w:rPr>
                  <m:t>Plant</m:t>
                </m:r>
                <m:r>
                  <m:rPr>
                    <m:sty m:val="p"/>
                  </m:rPr>
                  <w:rPr>
                    <w:rFonts w:ascii="Cambria Math" w:hAnsi="Cambria Math" w:cs="Arial"/>
                  </w:rPr>
                  <m:t xml:space="preserve"> </m:t>
                </m:r>
                <m:r>
                  <w:rPr>
                    <w:rFonts w:ascii="Cambria Math" w:hAnsi="Cambria Math" w:cs="Arial"/>
                  </w:rPr>
                  <m:t>overhead</m:t>
                </m:r>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 xml:space="preserve">50 % </m:t>
                    </m:r>
                    <m:r>
                      <w:rPr>
                        <w:rFonts w:ascii="Cambria Math" w:hAnsi="Cambria Math" w:cs="Arial"/>
                      </w:rPr>
                      <m:t>of</m:t>
                    </m:r>
                    <m:r>
                      <m:rPr>
                        <m:sty m:val="p"/>
                      </m:rPr>
                      <w:rPr>
                        <w:rFonts w:ascii="Cambria Math" w:hAnsi="Cambria Math" w:cs="Arial"/>
                      </w:rPr>
                      <m:t xml:space="preserve"> </m:t>
                    </m:r>
                    <m:r>
                      <w:rPr>
                        <w:rFonts w:ascii="Cambria Math" w:hAnsi="Cambria Math" w:cs="Arial"/>
                      </w:rPr>
                      <m:t>labour</m:t>
                    </m:r>
                    <m:r>
                      <m:rPr>
                        <m:sty m:val="p"/>
                      </m:rPr>
                      <w:rPr>
                        <w:rFonts w:ascii="Cambria Math" w:hAnsi="Cambria Math" w:cs="Arial"/>
                      </w:rPr>
                      <m:t xml:space="preserve"> </m:t>
                    </m:r>
                    <m:r>
                      <w:rPr>
                        <w:rFonts w:ascii="Cambria Math" w:hAnsi="Cambria Math" w:cs="Arial"/>
                      </w:rPr>
                      <m:t>charges</m:t>
                    </m:r>
                    <m:r>
                      <m:rPr>
                        <m:sty m:val="p"/>
                      </m:rPr>
                      <w:rPr>
                        <w:rFonts w:ascii="Cambria Math" w:hAnsi="Cambria Math" w:cs="Arial"/>
                      </w:rPr>
                      <m:t xml:space="preserve"> </m:t>
                    </m:r>
                    <m:r>
                      <w:rPr>
                        <w:rFonts w:ascii="Cambria Math" w:hAnsi="Cambria Math" w:cs="Arial"/>
                      </w:rPr>
                      <m:t>and</m:t>
                    </m:r>
                    <m:r>
                      <m:rPr>
                        <m:sty m:val="p"/>
                      </m:rPr>
                      <w:rPr>
                        <w:rFonts w:ascii="Cambria Math" w:hAnsi="Cambria Math" w:cs="Arial"/>
                      </w:rPr>
                      <m:t xml:space="preserve"> </m:t>
                    </m:r>
                    <m:r>
                      <w:rPr>
                        <w:rFonts w:ascii="Cambria Math" w:hAnsi="Cambria Math" w:cs="Arial"/>
                      </w:rPr>
                      <m:t>maintenance</m:t>
                    </m:r>
                  </m:num>
                  <m:den>
                    <m:r>
                      <w:rPr>
                        <w:rFonts w:ascii="Cambria Math" w:hAnsi="Cambria Math" w:cs="Arial"/>
                      </w:rPr>
                      <m:t>Period</m:t>
                    </m:r>
                  </m:den>
                </m:f>
              </m:oMath>
            </m:oMathPara>
          </w:p>
        </w:tc>
        <w:tc>
          <w:tcPr>
            <w:tcW w:w="337" w:type="pct"/>
          </w:tcPr>
          <w:p w14:paraId="5F89A9A7" w14:textId="77777777" w:rsidR="003D07D7" w:rsidRPr="00430059" w:rsidRDefault="003D07D7" w:rsidP="000241A2">
            <w:pPr>
              <w:pStyle w:val="CETEquation"/>
              <w:spacing w:after="0" w:line="240" w:lineRule="auto"/>
              <w:rPr>
                <w:rFonts w:eastAsia="Calibri" w:cs="Arial"/>
              </w:rPr>
            </w:pPr>
            <w:r w:rsidRPr="00430059">
              <w:rPr>
                <w:rFonts w:eastAsia="Calibri" w:cs="Arial"/>
              </w:rPr>
              <w:t>(10)</w:t>
            </w:r>
          </w:p>
        </w:tc>
      </w:tr>
      <w:tr w:rsidR="00430059" w:rsidRPr="00430059" w14:paraId="64074382" w14:textId="77777777" w:rsidTr="003520AC">
        <w:trPr>
          <w:trHeight w:val="440"/>
        </w:trPr>
        <w:tc>
          <w:tcPr>
            <w:tcW w:w="4663" w:type="pct"/>
          </w:tcPr>
          <w:p w14:paraId="53ACB602" w14:textId="19503283" w:rsidR="003D07D7" w:rsidRPr="00430059" w:rsidRDefault="003D07D7" w:rsidP="000241A2">
            <w:pPr>
              <w:pStyle w:val="CETEquation"/>
              <w:spacing w:after="0" w:line="240" w:lineRule="auto"/>
              <w:rPr>
                <w:rFonts w:eastAsia="Calibri" w:cs="Arial"/>
              </w:rPr>
            </w:pPr>
            <m:oMathPara>
              <m:oMathParaPr>
                <m:jc m:val="left"/>
              </m:oMathParaPr>
              <m:oMath>
                <m:r>
                  <w:rPr>
                    <w:rFonts w:ascii="Cambria Math" w:hAnsi="Cambria Math" w:cs="Arial"/>
                  </w:rPr>
                  <m:t>General</m:t>
                </m:r>
                <m:r>
                  <m:rPr>
                    <m:sty m:val="p"/>
                  </m:rPr>
                  <w:rPr>
                    <w:rFonts w:ascii="Cambria Math" w:hAnsi="Cambria Math" w:cs="Arial"/>
                  </w:rPr>
                  <m:t xml:space="preserve"> </m:t>
                </m:r>
                <m:r>
                  <w:rPr>
                    <w:rFonts w:ascii="Cambria Math" w:hAnsi="Cambria Math" w:cs="Arial"/>
                  </w:rPr>
                  <m:t>and</m:t>
                </m:r>
                <m:r>
                  <m:rPr>
                    <m:sty m:val="p"/>
                  </m:rPr>
                  <w:rPr>
                    <w:rFonts w:ascii="Cambria Math" w:hAnsi="Cambria Math" w:cs="Arial"/>
                  </w:rPr>
                  <m:t xml:space="preserve"> </m:t>
                </m:r>
                <m:r>
                  <w:rPr>
                    <w:rFonts w:ascii="Cambria Math" w:hAnsi="Cambria Math" w:cs="Arial"/>
                  </w:rPr>
                  <m:t>administrative</m:t>
                </m:r>
                <m:r>
                  <m:rPr>
                    <m:sty m:val="p"/>
                  </m:rPr>
                  <w:rPr>
                    <w:rFonts w:ascii="Cambria Math" w:hAnsi="Cambria Math" w:cs="Arial"/>
                  </w:rPr>
                  <m:t xml:space="preserve"> </m:t>
                </m:r>
                <m:r>
                  <w:rPr>
                    <w:rFonts w:ascii="Cambria Math" w:hAnsi="Cambria Math" w:cs="Arial"/>
                  </w:rPr>
                  <m:t>cost</m:t>
                </m:r>
                <m:r>
                  <m:rPr>
                    <m:sty m:val="p"/>
                  </m:rPr>
                  <w:rPr>
                    <w:rFonts w:ascii="Cambria Math" w:hAnsi="Cambria Math" w:cs="Arial"/>
                  </w:rPr>
                  <m:t xml:space="preserve"> = </m:t>
                </m:r>
                <m:f>
                  <m:fPr>
                    <m:ctrlPr>
                      <w:rPr>
                        <w:rFonts w:ascii="Cambria Math" w:hAnsi="Cambria Math" w:cs="Arial"/>
                      </w:rPr>
                    </m:ctrlPr>
                  </m:fPr>
                  <m:num>
                    <m:r>
                      <m:rPr>
                        <m:sty m:val="p"/>
                      </m:rPr>
                      <w:rPr>
                        <w:rFonts w:ascii="Cambria Math" w:hAnsi="Cambria Math" w:cs="Arial"/>
                      </w:rPr>
                      <m:t xml:space="preserve">8 % </m:t>
                    </m:r>
                    <m:r>
                      <w:rPr>
                        <w:rFonts w:ascii="Cambria Math" w:hAnsi="Cambria Math" w:cs="Arial"/>
                      </w:rPr>
                      <m:t>of</m:t>
                    </m:r>
                    <m:r>
                      <m:rPr>
                        <m:sty m:val="p"/>
                      </m:rPr>
                      <w:rPr>
                        <w:rFonts w:ascii="Cambria Math" w:hAnsi="Cambria Math" w:cs="Arial"/>
                      </w:rPr>
                      <m:t xml:space="preserve"> </m:t>
                    </m:r>
                    <m:r>
                      <w:rPr>
                        <w:rFonts w:ascii="Cambria Math" w:hAnsi="Cambria Math" w:cs="Arial"/>
                      </w:rPr>
                      <m:t>subtotal</m:t>
                    </m:r>
                    <m:r>
                      <m:rPr>
                        <m:sty m:val="p"/>
                      </m:rPr>
                      <w:rPr>
                        <w:rFonts w:ascii="Cambria Math" w:hAnsi="Cambria Math" w:cs="Arial"/>
                      </w:rPr>
                      <m:t xml:space="preserve"> </m:t>
                    </m:r>
                    <m:r>
                      <w:rPr>
                        <w:rFonts w:ascii="Cambria Math" w:hAnsi="Cambria Math" w:cs="Arial"/>
                      </w:rPr>
                      <m:t>operating</m:t>
                    </m:r>
                    <m:r>
                      <m:rPr>
                        <m:sty m:val="p"/>
                      </m:rPr>
                      <w:rPr>
                        <w:rFonts w:ascii="Cambria Math" w:hAnsi="Cambria Math" w:cs="Arial"/>
                      </w:rPr>
                      <m:t xml:space="preserve"> </m:t>
                    </m:r>
                    <m:r>
                      <w:rPr>
                        <w:rFonts w:ascii="Cambria Math" w:hAnsi="Cambria Math" w:cs="Arial"/>
                      </w:rPr>
                      <m:t>cost</m:t>
                    </m:r>
                  </m:num>
                  <m:den>
                    <m:r>
                      <w:rPr>
                        <w:rFonts w:ascii="Cambria Math" w:hAnsi="Cambria Math" w:cs="Arial"/>
                      </w:rPr>
                      <m:t>Period</m:t>
                    </m:r>
                  </m:den>
                </m:f>
              </m:oMath>
            </m:oMathPara>
          </w:p>
        </w:tc>
        <w:tc>
          <w:tcPr>
            <w:tcW w:w="337" w:type="pct"/>
          </w:tcPr>
          <w:p w14:paraId="23CF5547" w14:textId="77777777" w:rsidR="003D07D7" w:rsidRPr="00430059" w:rsidRDefault="003D07D7" w:rsidP="000241A2">
            <w:pPr>
              <w:pStyle w:val="CETEquation"/>
              <w:spacing w:after="0" w:line="240" w:lineRule="auto"/>
              <w:rPr>
                <w:rFonts w:eastAsia="Calibri" w:cs="Arial"/>
              </w:rPr>
            </w:pPr>
            <w:r w:rsidRPr="00430059">
              <w:rPr>
                <w:rFonts w:eastAsia="Calibri" w:cs="Arial"/>
              </w:rPr>
              <w:t>(11)</w:t>
            </w:r>
          </w:p>
        </w:tc>
      </w:tr>
      <w:tr w:rsidR="00430059" w:rsidRPr="00430059" w14:paraId="79DD3B5C" w14:textId="77777777" w:rsidTr="003520AC">
        <w:trPr>
          <w:trHeight w:val="431"/>
        </w:trPr>
        <w:tc>
          <w:tcPr>
            <w:tcW w:w="4663" w:type="pct"/>
          </w:tcPr>
          <w:p w14:paraId="05B5AD58" w14:textId="277847E4" w:rsidR="003D07D7" w:rsidRPr="00430059" w:rsidRDefault="003D07D7" w:rsidP="000241A2">
            <w:pPr>
              <w:pStyle w:val="CETEquation"/>
              <w:spacing w:after="0" w:line="240" w:lineRule="auto"/>
              <w:rPr>
                <w:rFonts w:eastAsia="Calibri" w:cs="Arial"/>
              </w:rPr>
            </w:pPr>
            <m:oMathPara>
              <m:oMathParaPr>
                <m:jc m:val="left"/>
              </m:oMathParaPr>
              <m:oMath>
                <m:r>
                  <w:rPr>
                    <w:rFonts w:ascii="Cambria Math" w:hAnsi="Cambria Math" w:cs="Arial"/>
                  </w:rPr>
                  <m:t>Return</m:t>
                </m:r>
                <m:r>
                  <m:rPr>
                    <m:sty m:val="p"/>
                  </m:rPr>
                  <w:rPr>
                    <w:rFonts w:ascii="Cambria Math" w:hAnsi="Cambria Math" w:cs="Arial"/>
                  </w:rPr>
                  <m:t xml:space="preserve"> </m:t>
                </m:r>
                <m:r>
                  <w:rPr>
                    <w:rFonts w:ascii="Cambria Math" w:hAnsi="Cambria Math" w:cs="Arial"/>
                  </w:rPr>
                  <m:t>on</m:t>
                </m:r>
                <m:r>
                  <m:rPr>
                    <m:sty m:val="p"/>
                  </m:rPr>
                  <w:rPr>
                    <w:rFonts w:ascii="Cambria Math" w:hAnsi="Cambria Math" w:cs="Arial"/>
                  </w:rPr>
                  <m:t xml:space="preserve"> </m:t>
                </m:r>
                <m:r>
                  <w:rPr>
                    <w:rFonts w:ascii="Cambria Math" w:hAnsi="Cambria Math" w:cs="Arial"/>
                  </w:rPr>
                  <m:t>investment (ROI)</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 xml:space="preserve"> %</m:t>
                    </m:r>
                  </m:e>
                </m:d>
                <m:r>
                  <m:rPr>
                    <m:sty m:val="p"/>
                  </m:rPr>
                  <w:rPr>
                    <w:rFonts w:ascii="Cambria Math" w:hAnsi="Cambria Math" w:cs="Arial"/>
                  </w:rPr>
                  <m:t xml:space="preserve">= </m:t>
                </m:r>
                <m:f>
                  <m:fPr>
                    <m:ctrlPr>
                      <w:rPr>
                        <w:rFonts w:ascii="Cambria Math" w:hAnsi="Cambria Math" w:cs="Arial"/>
                      </w:rPr>
                    </m:ctrlPr>
                  </m:fPr>
                  <m:num>
                    <m:r>
                      <w:rPr>
                        <w:rFonts w:ascii="Cambria Math" w:hAnsi="Cambria Math" w:cs="Arial"/>
                      </w:rPr>
                      <m:t>Net</m:t>
                    </m:r>
                    <m:r>
                      <m:rPr>
                        <m:sty m:val="p"/>
                      </m:rPr>
                      <w:rPr>
                        <w:rFonts w:ascii="Cambria Math" w:hAnsi="Cambria Math" w:cs="Arial"/>
                      </w:rPr>
                      <m:t xml:space="preserve"> </m:t>
                    </m:r>
                    <m:r>
                      <w:rPr>
                        <w:rFonts w:ascii="Cambria Math" w:hAnsi="Cambria Math" w:cs="Arial"/>
                      </w:rPr>
                      <m:t>profit</m:t>
                    </m:r>
                  </m:num>
                  <m:den>
                    <m:r>
                      <w:rPr>
                        <w:rFonts w:ascii="Cambria Math" w:hAnsi="Cambria Math" w:cs="Arial"/>
                      </w:rPr>
                      <m:t>CAPEX</m:t>
                    </m:r>
                  </m:den>
                </m:f>
                <m:r>
                  <m:rPr>
                    <m:sty m:val="p"/>
                  </m:rPr>
                  <w:rPr>
                    <w:rFonts w:ascii="Cambria Math" w:hAnsi="Cambria Math" w:cs="Arial"/>
                  </w:rPr>
                  <m:t xml:space="preserve">                                                   </m:t>
                </m:r>
              </m:oMath>
            </m:oMathPara>
          </w:p>
        </w:tc>
        <w:tc>
          <w:tcPr>
            <w:tcW w:w="337" w:type="pct"/>
          </w:tcPr>
          <w:p w14:paraId="25C7B7A7" w14:textId="77777777" w:rsidR="003D07D7" w:rsidRPr="00430059" w:rsidRDefault="003D07D7" w:rsidP="000241A2">
            <w:pPr>
              <w:pStyle w:val="CETEquation"/>
              <w:spacing w:after="0" w:line="240" w:lineRule="auto"/>
              <w:rPr>
                <w:rFonts w:eastAsia="Calibri" w:cs="Arial"/>
              </w:rPr>
            </w:pPr>
            <w:r w:rsidRPr="00430059">
              <w:rPr>
                <w:rFonts w:eastAsia="Calibri" w:cs="Arial"/>
              </w:rPr>
              <w:t>(12)</w:t>
            </w:r>
          </w:p>
        </w:tc>
      </w:tr>
      <w:tr w:rsidR="00430059" w:rsidRPr="00430059" w14:paraId="24440E06" w14:textId="77777777" w:rsidTr="003520AC">
        <w:trPr>
          <w:trHeight w:val="440"/>
        </w:trPr>
        <w:tc>
          <w:tcPr>
            <w:tcW w:w="4663" w:type="pct"/>
          </w:tcPr>
          <w:p w14:paraId="373B3361" w14:textId="77777777" w:rsidR="003D07D7" w:rsidRPr="00430059" w:rsidRDefault="003D07D7" w:rsidP="000241A2">
            <w:pPr>
              <w:pStyle w:val="CETEquation"/>
              <w:spacing w:after="0" w:line="240" w:lineRule="auto"/>
              <w:rPr>
                <w:rFonts w:eastAsia="Calibri" w:cs="Arial"/>
              </w:rPr>
            </w:pPr>
            <m:oMathPara>
              <m:oMathParaPr>
                <m:jc m:val="left"/>
              </m:oMathParaPr>
              <m:oMath>
                <m:r>
                  <w:rPr>
                    <w:rFonts w:ascii="Cambria Math" w:hAnsi="Cambria Math" w:cs="Arial"/>
                  </w:rPr>
                  <m:t>Payback</m:t>
                </m:r>
                <m:r>
                  <m:rPr>
                    <m:sty m:val="p"/>
                  </m:rPr>
                  <w:rPr>
                    <w:rFonts w:ascii="Cambria Math" w:hAnsi="Cambria Math" w:cs="Arial"/>
                  </w:rPr>
                  <m:t xml:space="preserve"> </m:t>
                </m:r>
                <m:r>
                  <w:rPr>
                    <w:rFonts w:ascii="Cambria Math" w:hAnsi="Cambria Math" w:cs="Arial"/>
                  </w:rPr>
                  <m:t>period</m:t>
                </m:r>
                <m:r>
                  <m:rPr>
                    <m:sty m:val="p"/>
                  </m:rPr>
                  <w:rPr>
                    <w:rFonts w:ascii="Cambria Math" w:hAnsi="Cambria Math" w:cs="Arial"/>
                  </w:rPr>
                  <m:t xml:space="preserve"> </m:t>
                </m:r>
                <m:d>
                  <m:dPr>
                    <m:ctrlPr>
                      <w:rPr>
                        <w:rFonts w:ascii="Cambria Math" w:hAnsi="Cambria Math" w:cs="Arial"/>
                      </w:rPr>
                    </m:ctrlPr>
                  </m:dPr>
                  <m:e>
                    <m:r>
                      <w:rPr>
                        <w:rFonts w:ascii="Cambria Math" w:hAnsi="Cambria Math" w:cs="Arial"/>
                      </w:rPr>
                      <m:t>years</m:t>
                    </m:r>
                  </m:e>
                </m:d>
                <m:r>
                  <m:rPr>
                    <m:sty m:val="p"/>
                  </m:rPr>
                  <w:rPr>
                    <w:rFonts w:ascii="Cambria Math" w:hAnsi="Cambria Math" w:cs="Arial"/>
                  </w:rPr>
                  <m:t xml:space="preserve">= </m:t>
                </m:r>
                <m:f>
                  <m:fPr>
                    <m:ctrlPr>
                      <w:rPr>
                        <w:rFonts w:ascii="Cambria Math" w:hAnsi="Cambria Math" w:cs="Arial"/>
                      </w:rPr>
                    </m:ctrlPr>
                  </m:fPr>
                  <m:num>
                    <m:r>
                      <w:rPr>
                        <w:rFonts w:ascii="Cambria Math" w:hAnsi="Cambria Math" w:cs="Arial"/>
                      </w:rPr>
                      <m:t>CAPEX</m:t>
                    </m:r>
                  </m:num>
                  <m:den>
                    <m:r>
                      <w:rPr>
                        <w:rFonts w:ascii="Cambria Math" w:hAnsi="Cambria Math" w:cs="Arial"/>
                      </w:rPr>
                      <m:t>Cash</m:t>
                    </m:r>
                    <m:r>
                      <m:rPr>
                        <m:sty m:val="p"/>
                      </m:rPr>
                      <w:rPr>
                        <w:rFonts w:ascii="Cambria Math" w:hAnsi="Cambria Math" w:cs="Arial"/>
                      </w:rPr>
                      <m:t xml:space="preserve"> </m:t>
                    </m:r>
                    <m:r>
                      <w:rPr>
                        <w:rFonts w:ascii="Cambria Math" w:hAnsi="Cambria Math" w:cs="Arial"/>
                      </w:rPr>
                      <m:t>inflow</m:t>
                    </m:r>
                  </m:den>
                </m:f>
              </m:oMath>
            </m:oMathPara>
          </w:p>
        </w:tc>
        <w:tc>
          <w:tcPr>
            <w:tcW w:w="337" w:type="pct"/>
          </w:tcPr>
          <w:p w14:paraId="752EECEC" w14:textId="77777777" w:rsidR="003D07D7" w:rsidRPr="00430059" w:rsidRDefault="003D07D7" w:rsidP="000241A2">
            <w:pPr>
              <w:pStyle w:val="CETEquation"/>
              <w:spacing w:after="0" w:line="240" w:lineRule="auto"/>
              <w:rPr>
                <w:rFonts w:eastAsia="Calibri" w:cs="Arial"/>
              </w:rPr>
            </w:pPr>
            <w:r w:rsidRPr="00430059">
              <w:rPr>
                <w:rFonts w:eastAsia="Calibri" w:cs="Arial"/>
              </w:rPr>
              <w:t>(13)</w:t>
            </w:r>
          </w:p>
        </w:tc>
      </w:tr>
      <w:tr w:rsidR="00430059" w:rsidRPr="00430059" w14:paraId="542F6D0C" w14:textId="77777777" w:rsidTr="003520AC">
        <w:trPr>
          <w:trHeight w:val="730"/>
        </w:trPr>
        <w:tc>
          <w:tcPr>
            <w:tcW w:w="4663" w:type="pct"/>
          </w:tcPr>
          <w:p w14:paraId="61DAD26C" w14:textId="734EA4D9" w:rsidR="003D07D7" w:rsidRPr="00430059" w:rsidRDefault="003D07D7" w:rsidP="000241A2">
            <w:pPr>
              <w:pStyle w:val="CETEquation"/>
              <w:spacing w:after="0" w:line="240" w:lineRule="auto"/>
              <w:rPr>
                <w:rFonts w:eastAsia="Calibri" w:cs="Arial"/>
              </w:rPr>
            </w:pPr>
            <m:oMathPara>
              <m:oMathParaPr>
                <m:jc m:val="left"/>
              </m:oMathParaPr>
              <m:oMath>
                <m:r>
                  <w:rPr>
                    <w:rFonts w:ascii="Cambria Math" w:hAnsi="Cambria Math" w:cs="Arial"/>
                  </w:rPr>
                  <m:t>Minimum</m:t>
                </m:r>
                <m:r>
                  <m:rPr>
                    <m:sty m:val="p"/>
                  </m:rPr>
                  <w:rPr>
                    <w:rFonts w:ascii="Cambria Math" w:hAnsi="Cambria Math" w:cs="Arial"/>
                  </w:rPr>
                  <m:t xml:space="preserve"> </m:t>
                </m:r>
                <m:r>
                  <w:rPr>
                    <w:rFonts w:ascii="Cambria Math" w:hAnsi="Cambria Math" w:cs="Arial"/>
                  </w:rPr>
                  <m:t>selling</m:t>
                </m:r>
                <m:r>
                  <m:rPr>
                    <m:sty m:val="p"/>
                  </m:rPr>
                  <w:rPr>
                    <w:rFonts w:ascii="Cambria Math" w:hAnsi="Cambria Math" w:cs="Arial"/>
                  </w:rPr>
                  <m:t xml:space="preserve"> </m:t>
                </m:r>
                <m:r>
                  <w:rPr>
                    <w:rFonts w:ascii="Cambria Math" w:hAnsi="Cambria Math" w:cs="Arial"/>
                  </w:rPr>
                  <m:t>price (MSP)</m:t>
                </m:r>
                <m:r>
                  <m:rPr>
                    <m:sty m:val="p"/>
                  </m:rPr>
                  <w:rPr>
                    <w:rFonts w:ascii="Cambria Math" w:hAnsi="Cambria Math" w:cs="Arial"/>
                  </w:rPr>
                  <m:t xml:space="preserve"> </m:t>
                </m:r>
                <m:d>
                  <m:dPr>
                    <m:ctrlPr>
                      <w:rPr>
                        <w:rFonts w:ascii="Cambria Math" w:hAnsi="Cambria Math" w:cs="Arial"/>
                      </w:rPr>
                    </m:ctrlPr>
                  </m:dPr>
                  <m:e>
                    <m:f>
                      <m:fPr>
                        <m:ctrlPr>
                          <w:rPr>
                            <w:rFonts w:ascii="Cambria Math" w:hAnsi="Cambria Math" w:cs="Arial"/>
                          </w:rPr>
                        </m:ctrlPr>
                      </m:fPr>
                      <m:num>
                        <m:r>
                          <w:rPr>
                            <w:rFonts w:ascii="Cambria Math" w:hAnsi="Cambria Math" w:cs="Arial"/>
                          </w:rPr>
                          <m:t>USD</m:t>
                        </m:r>
                      </m:num>
                      <m:den>
                        <m:r>
                          <w:rPr>
                            <w:rFonts w:ascii="Cambria Math" w:hAnsi="Cambria Math" w:cs="Arial"/>
                          </w:rPr>
                          <m:t>kg</m:t>
                        </m:r>
                      </m:den>
                    </m:f>
                  </m:e>
                </m:d>
                <m:r>
                  <m:rPr>
                    <m:sty m:val="p"/>
                  </m:rPr>
                  <w:rPr>
                    <w:rFonts w:ascii="Cambria Math" w:hAnsi="Cambria Math" w:cs="Arial"/>
                  </w:rPr>
                  <m:t xml:space="preserve">= </m:t>
                </m:r>
                <m:f>
                  <m:fPr>
                    <m:ctrlPr>
                      <w:rPr>
                        <w:rFonts w:ascii="Cambria Math" w:hAnsi="Cambria Math" w:cs="Arial"/>
                      </w:rPr>
                    </m:ctrlPr>
                  </m:fPr>
                  <m:num>
                    <m:r>
                      <w:rPr>
                        <w:rFonts w:ascii="Cambria Math" w:hAnsi="Cambria Math" w:cs="Arial"/>
                      </w:rPr>
                      <m:t>CAPEX</m:t>
                    </m:r>
                    <m:r>
                      <m:rPr>
                        <m:sty m:val="p"/>
                      </m:rP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1</m:t>
                        </m:r>
                      </m:sub>
                      <m:sup>
                        <m:r>
                          <w:rPr>
                            <w:rFonts w:ascii="Cambria Math" w:hAnsi="Cambria Math" w:cs="Arial"/>
                          </w:rPr>
                          <m:t>lifespan</m:t>
                        </m:r>
                      </m:sup>
                      <m:e>
                        <m:sSup>
                          <m:sSupPr>
                            <m:ctrlPr>
                              <w:rPr>
                                <w:rFonts w:ascii="Cambria Math" w:hAnsi="Cambria Math" w:cs="Arial"/>
                              </w:rPr>
                            </m:ctrlPr>
                          </m:sSupPr>
                          <m:e>
                            <m:r>
                              <m:rPr>
                                <m:sty m:val="p"/>
                              </m:rPr>
                              <w:rPr>
                                <w:rFonts w:ascii="Cambria Math" w:hAnsi="Cambria Math" w:cs="Arial"/>
                              </w:rPr>
                              <m:t>(</m:t>
                            </m:r>
                            <m:r>
                              <w:rPr>
                                <w:rFonts w:ascii="Cambria Math" w:hAnsi="Cambria Math" w:cs="Arial"/>
                              </w:rPr>
                              <m:t>Opex</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w:rPr>
                                    <w:rFonts w:ascii="Cambria Math" w:hAnsi="Cambria Math" w:cs="Arial"/>
                                  </w:rPr>
                                  <m:t>Discount</m:t>
                                </m:r>
                                <m:r>
                                  <m:rPr>
                                    <m:sty m:val="p"/>
                                  </m:rPr>
                                  <w:rPr>
                                    <w:rFonts w:ascii="Cambria Math" w:hAnsi="Cambria Math" w:cs="Arial"/>
                                  </w:rPr>
                                  <m:t xml:space="preserve"> </m:t>
                                </m:r>
                                <m:r>
                                  <w:rPr>
                                    <w:rFonts w:ascii="Cambria Math" w:hAnsi="Cambria Math" w:cs="Arial"/>
                                  </w:rPr>
                                  <m:t>Rate</m:t>
                                </m:r>
                              </m:e>
                            </m:d>
                          </m:e>
                          <m:sup>
                            <m:r>
                              <m:rPr>
                                <m:sty m:val="p"/>
                              </m:rPr>
                              <w:rPr>
                                <w:rFonts w:ascii="Cambria Math" w:hAnsi="Cambria Math" w:cs="Arial"/>
                              </w:rPr>
                              <m:t>-</m:t>
                            </m:r>
                            <m:r>
                              <w:rPr>
                                <w:rFonts w:ascii="Cambria Math" w:hAnsi="Cambria Math" w:cs="Arial"/>
                              </w:rPr>
                              <m:t>lifespan</m:t>
                            </m:r>
                          </m:sup>
                        </m:sSup>
                      </m:e>
                    </m:nary>
                    <m:r>
                      <m:rPr>
                        <m:sty m:val="p"/>
                      </m:rPr>
                      <w:rPr>
                        <w:rFonts w:ascii="Cambria Math" w:hAnsi="Cambria Math" w:cs="Arial"/>
                      </w:rPr>
                      <m:t xml:space="preserve">) </m:t>
                    </m:r>
                  </m:num>
                  <m:den>
                    <m:nary>
                      <m:naryPr>
                        <m:chr m:val="∑"/>
                        <m:limLoc m:val="undOvr"/>
                        <m:ctrlPr>
                          <w:rPr>
                            <w:rFonts w:ascii="Cambria Math" w:hAnsi="Cambria Math" w:cs="Arial"/>
                          </w:rPr>
                        </m:ctrlPr>
                      </m:naryPr>
                      <m:sub>
                        <m:r>
                          <m:rPr>
                            <m:sty m:val="p"/>
                          </m:rPr>
                          <w:rPr>
                            <w:rFonts w:ascii="Cambria Math" w:hAnsi="Cambria Math" w:cs="Arial"/>
                          </w:rPr>
                          <m:t>1</m:t>
                        </m:r>
                      </m:sub>
                      <m:sup>
                        <m:r>
                          <w:rPr>
                            <w:rFonts w:ascii="Cambria Math" w:hAnsi="Cambria Math" w:cs="Arial"/>
                          </w:rPr>
                          <m:t>lifespan</m:t>
                        </m:r>
                      </m:sup>
                      <m:e>
                        <m:sSup>
                          <m:sSupPr>
                            <m:ctrlPr>
                              <w:rPr>
                                <w:rFonts w:ascii="Cambria Math" w:hAnsi="Cambria Math" w:cs="Arial"/>
                              </w:rPr>
                            </m:ctrlPr>
                          </m:sSupPr>
                          <m:e>
                            <m:r>
                              <m:rPr>
                                <m:sty m:val="p"/>
                              </m:rPr>
                              <w:rPr>
                                <w:rFonts w:ascii="Cambria Math" w:hAnsi="Cambria Math" w:cs="Arial"/>
                              </w:rPr>
                              <m:t>(</m:t>
                            </m:r>
                            <m:r>
                              <w:rPr>
                                <w:rFonts w:ascii="Cambria Math" w:hAnsi="Cambria Math" w:cs="Arial"/>
                              </w:rPr>
                              <m:t>fuel</m:t>
                            </m:r>
                            <m:r>
                              <m:rPr>
                                <m:sty m:val="p"/>
                              </m:rPr>
                              <w:rPr>
                                <w:rFonts w:ascii="Cambria Math" w:hAnsi="Cambria Math" w:cs="Arial"/>
                              </w:rPr>
                              <m:t xml:space="preserve"> </m:t>
                            </m:r>
                            <m:r>
                              <w:rPr>
                                <w:rFonts w:ascii="Cambria Math" w:hAnsi="Cambria Math" w:cs="Arial"/>
                              </w:rPr>
                              <m:t>yield</m:t>
                            </m:r>
                            <m:d>
                              <m:dPr>
                                <m:ctrlPr>
                                  <w:rPr>
                                    <w:rFonts w:ascii="Cambria Math" w:hAnsi="Cambria Math" w:cs="Arial"/>
                                  </w:rPr>
                                </m:ctrlPr>
                              </m:dPr>
                              <m:e>
                                <m:r>
                                  <m:rPr>
                                    <m:sty m:val="p"/>
                                  </m:rPr>
                                  <w:rPr>
                                    <w:rFonts w:ascii="Cambria Math" w:hAnsi="Cambria Math" w:cs="Arial"/>
                                  </w:rPr>
                                  <m:t>1+</m:t>
                                </m:r>
                                <m:r>
                                  <w:rPr>
                                    <w:rFonts w:ascii="Cambria Math" w:hAnsi="Cambria Math" w:cs="Arial"/>
                                  </w:rPr>
                                  <m:t>Discount</m:t>
                                </m:r>
                                <m:r>
                                  <m:rPr>
                                    <m:sty m:val="p"/>
                                  </m:rPr>
                                  <w:rPr>
                                    <w:rFonts w:ascii="Cambria Math" w:hAnsi="Cambria Math" w:cs="Arial"/>
                                  </w:rPr>
                                  <m:t xml:space="preserve"> </m:t>
                                </m:r>
                                <m:r>
                                  <w:rPr>
                                    <w:rFonts w:ascii="Cambria Math" w:hAnsi="Cambria Math" w:cs="Arial"/>
                                  </w:rPr>
                                  <m:t>Rate</m:t>
                                </m:r>
                              </m:e>
                            </m:d>
                          </m:e>
                          <m:sup>
                            <m:r>
                              <m:rPr>
                                <m:sty m:val="p"/>
                              </m:rPr>
                              <w:rPr>
                                <w:rFonts w:ascii="Cambria Math" w:hAnsi="Cambria Math" w:cs="Arial"/>
                              </w:rPr>
                              <m:t>-</m:t>
                            </m:r>
                            <m:r>
                              <w:rPr>
                                <w:rFonts w:ascii="Cambria Math" w:hAnsi="Cambria Math" w:cs="Arial"/>
                              </w:rPr>
                              <m:t>lifespan</m:t>
                            </m:r>
                          </m:sup>
                        </m:sSup>
                        <m:r>
                          <m:rPr>
                            <m:sty m:val="p"/>
                          </m:rPr>
                          <w:rPr>
                            <w:rFonts w:ascii="Cambria Math" w:hAnsi="Cambria Math" w:cs="Arial"/>
                          </w:rPr>
                          <m:t>)</m:t>
                        </m:r>
                      </m:e>
                    </m:nary>
                  </m:den>
                </m:f>
              </m:oMath>
            </m:oMathPara>
          </w:p>
        </w:tc>
        <w:tc>
          <w:tcPr>
            <w:tcW w:w="337" w:type="pct"/>
          </w:tcPr>
          <w:p w14:paraId="22C755B3" w14:textId="77777777" w:rsidR="003D07D7" w:rsidRPr="00430059" w:rsidRDefault="003D07D7" w:rsidP="000241A2">
            <w:pPr>
              <w:pStyle w:val="CETEquation"/>
              <w:spacing w:after="0" w:line="240" w:lineRule="auto"/>
              <w:rPr>
                <w:rFonts w:eastAsia="Calibri" w:cs="Arial"/>
              </w:rPr>
            </w:pPr>
            <w:r w:rsidRPr="00430059">
              <w:rPr>
                <w:rFonts w:eastAsia="Calibri" w:cs="Arial"/>
              </w:rPr>
              <w:t>(14)</w:t>
            </w:r>
          </w:p>
        </w:tc>
      </w:tr>
      <w:tr w:rsidR="00430059" w:rsidRPr="00430059" w14:paraId="53593820" w14:textId="77777777" w:rsidTr="003520AC">
        <w:trPr>
          <w:trHeight w:val="440"/>
        </w:trPr>
        <w:tc>
          <w:tcPr>
            <w:tcW w:w="4663" w:type="pct"/>
          </w:tcPr>
          <w:p w14:paraId="3A7747F7" w14:textId="77777777" w:rsidR="003D07D7" w:rsidRPr="00430059" w:rsidRDefault="00000000" w:rsidP="000241A2">
            <w:pPr>
              <w:pStyle w:val="CETEquation"/>
              <w:spacing w:after="0" w:line="240" w:lineRule="auto"/>
              <w:rPr>
                <w:rFonts w:eastAsia="Calibri" w:cs="Arial"/>
              </w:rPr>
            </w:pPr>
            <m:oMathPara>
              <m:oMathParaPr>
                <m:jc m:val="left"/>
              </m:oMathParaPr>
              <m:oMath>
                <m:sSub>
                  <m:sSubPr>
                    <m:ctrlPr>
                      <w:rPr>
                        <w:rFonts w:ascii="Cambria Math" w:hAnsi="Cambria Math" w:cs="Arial"/>
                      </w:rPr>
                    </m:ctrlPr>
                  </m:sSubPr>
                  <m:e>
                    <m:r>
                      <w:rPr>
                        <w:rFonts w:ascii="Cambria Math" w:hAnsi="Cambria Math" w:cs="Arial"/>
                      </w:rPr>
                      <m:t>Cost</m:t>
                    </m:r>
                  </m:e>
                  <m:sub>
                    <m:r>
                      <w:rPr>
                        <w:rFonts w:ascii="Cambria Math" w:hAnsi="Cambria Math" w:cs="Arial"/>
                      </w:rPr>
                      <m:t>design</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Cost</m:t>
                    </m:r>
                  </m:e>
                  <m:sub>
                    <m:r>
                      <w:rPr>
                        <w:rFonts w:ascii="Cambria Math" w:hAnsi="Cambria Math" w:cs="Arial"/>
                      </w:rPr>
                      <m:t>base</m:t>
                    </m:r>
                  </m:sub>
                </m:sSub>
                <m:r>
                  <m:rPr>
                    <m:sty m:val="p"/>
                  </m:rPr>
                  <w:rPr>
                    <w:rFonts w:ascii="Cambria Math" w:hAnsi="Cambria Math" w:cs="Arial"/>
                  </w:rPr>
                  <m:t>∙</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Capacity</m:t>
                                </m:r>
                              </m:e>
                              <m:sub>
                                <m:r>
                                  <w:rPr>
                                    <w:rFonts w:ascii="Cambria Math" w:hAnsi="Cambria Math" w:cs="Arial"/>
                                  </w:rPr>
                                  <m:t>design</m:t>
                                </m:r>
                              </m:sub>
                            </m:sSub>
                          </m:num>
                          <m:den>
                            <m:sSub>
                              <m:sSubPr>
                                <m:ctrlPr>
                                  <w:rPr>
                                    <w:rFonts w:ascii="Cambria Math" w:hAnsi="Cambria Math" w:cs="Arial"/>
                                  </w:rPr>
                                </m:ctrlPr>
                              </m:sSubPr>
                              <m:e>
                                <m:r>
                                  <w:rPr>
                                    <w:rFonts w:ascii="Cambria Math" w:hAnsi="Cambria Math" w:cs="Arial"/>
                                  </w:rPr>
                                  <m:t>Capacity</m:t>
                                </m:r>
                              </m:e>
                              <m:sub>
                                <m:r>
                                  <w:rPr>
                                    <w:rFonts w:ascii="Cambria Math" w:hAnsi="Cambria Math" w:cs="Arial"/>
                                  </w:rPr>
                                  <m:t>base</m:t>
                                </m:r>
                              </m:sub>
                            </m:sSub>
                          </m:den>
                        </m:f>
                      </m:e>
                    </m:d>
                  </m:e>
                  <m:sup>
                    <m:r>
                      <w:rPr>
                        <w:rFonts w:ascii="Cambria Math" w:hAnsi="Cambria Math" w:cs="Arial"/>
                      </w:rPr>
                      <m:t>scaling</m:t>
                    </m:r>
                    <m:r>
                      <m:rPr>
                        <m:sty m:val="p"/>
                      </m:rPr>
                      <w:rPr>
                        <w:rFonts w:ascii="Cambria Math" w:hAnsi="Cambria Math" w:cs="Arial"/>
                      </w:rPr>
                      <m:t xml:space="preserve"> </m:t>
                    </m:r>
                    <m:r>
                      <w:rPr>
                        <w:rFonts w:ascii="Cambria Math" w:hAnsi="Cambria Math" w:cs="Arial"/>
                      </w:rPr>
                      <m:t>factor</m:t>
                    </m:r>
                  </m:sup>
                </m:sSup>
                <m:r>
                  <m:rPr>
                    <m:sty m:val="p"/>
                  </m:rPr>
                  <w:rPr>
                    <w:rFonts w:ascii="Cambria Math" w:hAnsi="Cambria Math" w:cs="Arial"/>
                  </w:rPr>
                  <m:t>∙</m:t>
                </m:r>
                <m:r>
                  <w:rPr>
                    <w:rFonts w:ascii="Cambria Math" w:hAnsi="Cambria Math" w:cs="Arial"/>
                  </w:rPr>
                  <m:t>Installing</m:t>
                </m:r>
                <m:r>
                  <m:rPr>
                    <m:sty m:val="p"/>
                  </m:rPr>
                  <w:rPr>
                    <w:rFonts w:ascii="Cambria Math" w:hAnsi="Cambria Math" w:cs="Arial"/>
                  </w:rPr>
                  <m:t xml:space="preserve"> </m:t>
                </m:r>
                <m:r>
                  <w:rPr>
                    <w:rFonts w:ascii="Cambria Math" w:hAnsi="Cambria Math" w:cs="Arial"/>
                  </w:rPr>
                  <m:t>factor</m:t>
                </m:r>
              </m:oMath>
            </m:oMathPara>
          </w:p>
        </w:tc>
        <w:tc>
          <w:tcPr>
            <w:tcW w:w="337" w:type="pct"/>
          </w:tcPr>
          <w:p w14:paraId="0D10AA12" w14:textId="77777777" w:rsidR="003D07D7" w:rsidRPr="00430059" w:rsidRDefault="003D07D7" w:rsidP="000241A2">
            <w:pPr>
              <w:pStyle w:val="CETEquation"/>
              <w:spacing w:after="0" w:line="240" w:lineRule="auto"/>
              <w:rPr>
                <w:rFonts w:eastAsia="Calibri" w:cs="Arial"/>
              </w:rPr>
            </w:pPr>
            <w:r w:rsidRPr="00430059">
              <w:rPr>
                <w:rFonts w:eastAsia="Calibri" w:cs="Arial"/>
              </w:rPr>
              <w:t>(15)</w:t>
            </w:r>
          </w:p>
        </w:tc>
      </w:tr>
      <w:tr w:rsidR="00430059" w:rsidRPr="00430059" w14:paraId="0E917F47" w14:textId="77777777" w:rsidTr="003520AC">
        <w:trPr>
          <w:trHeight w:val="377"/>
        </w:trPr>
        <w:tc>
          <w:tcPr>
            <w:tcW w:w="4663" w:type="pct"/>
          </w:tcPr>
          <w:p w14:paraId="20CAF752" w14:textId="77777777" w:rsidR="003D07D7" w:rsidRPr="00430059" w:rsidRDefault="00000000" w:rsidP="000241A2">
            <w:pPr>
              <w:pStyle w:val="CETEquation"/>
              <w:spacing w:after="0" w:line="240" w:lineRule="auto"/>
              <w:rPr>
                <w:rFonts w:eastAsia="Calibri" w:cs="Arial"/>
              </w:rPr>
            </w:pPr>
            <m:oMathPara>
              <m:oMathParaPr>
                <m:jc m:val="left"/>
              </m:oMathParaPr>
              <m:oMath>
                <m:sSub>
                  <m:sSubPr>
                    <m:ctrlPr>
                      <w:rPr>
                        <w:rFonts w:ascii="Cambria Math" w:hAnsi="Cambria Math" w:cs="Arial"/>
                      </w:rPr>
                    </m:ctrlPr>
                  </m:sSubPr>
                  <m:e>
                    <m:r>
                      <w:rPr>
                        <w:rFonts w:ascii="Cambria Math" w:hAnsi="Cambria Math" w:cs="Arial"/>
                      </w:rPr>
                      <m:t>Cost</m:t>
                    </m:r>
                  </m:e>
                  <m:sub>
                    <m:r>
                      <w:rPr>
                        <w:rFonts w:ascii="Cambria Math" w:hAnsi="Cambria Math" w:cs="Arial"/>
                      </w:rPr>
                      <m:t>design</m:t>
                    </m:r>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 xml:space="preserve"> </m:t>
                        </m:r>
                        <m:r>
                          <w:rPr>
                            <w:rFonts w:ascii="Cambria Math" w:hAnsi="Cambria Math" w:cs="Arial"/>
                          </w:rPr>
                          <m:t>USD</m:t>
                        </m:r>
                      </m:e>
                      <m:sub>
                        <m:r>
                          <m:rPr>
                            <m:sty m:val="p"/>
                          </m:rPr>
                          <w:rPr>
                            <w:rFonts w:ascii="Cambria Math" w:hAnsi="Cambria Math" w:cs="Arial"/>
                          </w:rPr>
                          <m:t>2019</m:t>
                        </m:r>
                      </m:sub>
                    </m:sSub>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Cost</m:t>
                    </m:r>
                  </m:e>
                  <m:sub>
                    <m:r>
                      <w:rPr>
                        <w:rFonts w:ascii="Cambria Math" w:hAnsi="Cambria Math" w:cs="Arial"/>
                      </w:rPr>
                      <m:t>design</m:t>
                    </m:r>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 xml:space="preserve"> </m:t>
                        </m:r>
                        <m:r>
                          <w:rPr>
                            <w:rFonts w:ascii="Cambria Math" w:hAnsi="Cambria Math" w:cs="Arial"/>
                          </w:rPr>
                          <m:t>USD</m:t>
                        </m:r>
                      </m:e>
                      <m:sub>
                        <m:r>
                          <w:rPr>
                            <w:rFonts w:ascii="Cambria Math" w:hAnsi="Cambria Math" w:cs="Arial"/>
                          </w:rPr>
                          <m:t>i</m:t>
                        </m:r>
                      </m:sub>
                    </m:sSub>
                  </m:sub>
                </m:sSub>
                <m:r>
                  <m:rPr>
                    <m:sty m:val="p"/>
                  </m:rPr>
                  <w:rPr>
                    <w:rFonts w:ascii="Cambria Math" w:hAnsi="Cambria Math" w:cs="Arial"/>
                  </w:rPr>
                  <m:t>∙</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CEPCI</m:t>
                            </m:r>
                          </m:e>
                          <m:sub>
                            <m:r>
                              <m:rPr>
                                <m:sty m:val="p"/>
                              </m:rPr>
                              <w:rPr>
                                <w:rFonts w:ascii="Cambria Math" w:hAnsi="Cambria Math" w:cs="Arial"/>
                              </w:rPr>
                              <m:t>2019</m:t>
                            </m:r>
                          </m:sub>
                        </m:sSub>
                      </m:num>
                      <m:den>
                        <m:sSub>
                          <m:sSubPr>
                            <m:ctrlPr>
                              <w:rPr>
                                <w:rFonts w:ascii="Cambria Math" w:hAnsi="Cambria Math" w:cs="Arial"/>
                              </w:rPr>
                            </m:ctrlPr>
                          </m:sSubPr>
                          <m:e>
                            <m:r>
                              <w:rPr>
                                <w:rFonts w:ascii="Cambria Math" w:hAnsi="Cambria Math" w:cs="Arial"/>
                              </w:rPr>
                              <m:t>CEPCI</m:t>
                            </m:r>
                          </m:e>
                          <m:sub>
                            <m:r>
                              <w:rPr>
                                <w:rFonts w:ascii="Cambria Math" w:hAnsi="Cambria Math" w:cs="Arial"/>
                              </w:rPr>
                              <m:t>i</m:t>
                            </m:r>
                          </m:sub>
                        </m:sSub>
                      </m:den>
                    </m:f>
                  </m:e>
                </m:d>
              </m:oMath>
            </m:oMathPara>
          </w:p>
        </w:tc>
        <w:tc>
          <w:tcPr>
            <w:tcW w:w="337" w:type="pct"/>
          </w:tcPr>
          <w:p w14:paraId="257EDA82" w14:textId="77777777" w:rsidR="003D07D7" w:rsidRPr="00430059" w:rsidRDefault="003D07D7" w:rsidP="000241A2">
            <w:pPr>
              <w:pStyle w:val="CETEquation"/>
              <w:spacing w:after="0" w:line="240" w:lineRule="auto"/>
              <w:rPr>
                <w:rFonts w:eastAsia="Calibri" w:cs="Arial"/>
              </w:rPr>
            </w:pPr>
            <w:r w:rsidRPr="00430059">
              <w:rPr>
                <w:rFonts w:eastAsia="Calibri" w:cs="Arial"/>
              </w:rPr>
              <w:t>(16)</w:t>
            </w:r>
          </w:p>
        </w:tc>
      </w:tr>
    </w:tbl>
    <w:p w14:paraId="2D748B76" w14:textId="77777777" w:rsidR="003728E1" w:rsidRPr="00430059" w:rsidRDefault="003728E1" w:rsidP="00AE3FA7">
      <w:pPr>
        <w:pStyle w:val="CETBodytext"/>
        <w:rPr>
          <w:lang w:val="en-GB"/>
        </w:rPr>
      </w:pPr>
    </w:p>
    <w:p w14:paraId="1E7817A4" w14:textId="42EA315D" w:rsidR="003D07D7" w:rsidRPr="00430059" w:rsidRDefault="003D07D7" w:rsidP="00AE3FA7">
      <w:pPr>
        <w:pStyle w:val="CETBodytext"/>
        <w:rPr>
          <w:lang w:val="en-GB"/>
        </w:rPr>
      </w:pPr>
      <w:r w:rsidRPr="00430059">
        <w:rPr>
          <w:lang w:val="en-GB"/>
        </w:rPr>
        <w:t xml:space="preserve">Table 1. provides the list of assumptions employed for the economic analysis. The assumptions were made on Qatar scenario and based on the year </w:t>
      </w:r>
      <w:r w:rsidRPr="00430059">
        <w:rPr>
          <w:szCs w:val="18"/>
          <w:lang w:val="en-GB"/>
        </w:rPr>
        <w:t>2021</w:t>
      </w:r>
      <w:r w:rsidR="005F57BD" w:rsidRPr="00430059">
        <w:rPr>
          <w:szCs w:val="18"/>
          <w:lang w:val="en-GB"/>
        </w:rPr>
        <w:t xml:space="preserve"> </w:t>
      </w:r>
      <w:r w:rsidR="005F57BD" w:rsidRPr="00430059">
        <w:rPr>
          <w:rFonts w:cs="Arial"/>
          <w:szCs w:val="18"/>
          <w:shd w:val="clear" w:color="auto" w:fill="FFFFFF"/>
        </w:rPr>
        <w:fldChar w:fldCharType="begin" w:fldLock="1"/>
      </w:r>
      <w:r w:rsidR="00ED03DB" w:rsidRPr="00430059">
        <w:rPr>
          <w:rFonts w:cs="Arial"/>
          <w:szCs w:val="18"/>
          <w:shd w:val="clear" w:color="auto" w:fill="FFFFFF"/>
        </w:rPr>
        <w:instrText>ADDIN CSL_CITATION {"citationItems":[{"id":"ITEM-1","itemData":{"DOI":"10.1016/B978-0-443-15274-0.50366-8","ISSN":"1570-7946","abstract":"Livestock manure contributes to around 18% of global greenhouse gas (GHG) emissions, while the mishandling of manure further pollutes water and soil. As such, the valorisation of these wastes becomes vital for the mitigation of global warming impact. In this context, anaerobic digestion (AD) is commonly used to generate biogas and digestate from manure; however, pyrolysis has recently emerged as a viable alternative to AD for producing cleaner products in much shorter processing times. Therefore, this study investigates the pyrolysis of four types of livestock manures including poultry (PM), dairy (DM), camel (CM) and sheep manure (SM). The air-dried manure samples are characterised with reference to literature reported data, while the process is simulated using existing empirical prediction models. In addition, the process performance in terms of economic feasibility and environmental impact is evaluated from cradle to gate for different manure feedstocks. A mathematical optimisation model is then developed to evaluate optimal blending of manure for the commercial production of bio-oil, considering different operating conditions, manure compositions and availability in the State of Qatar. The model is solved to fulfill seven different objectives independently. The results revealed that PM is linked to the highest amount of bio-oil (41%) at 600°C, while the lowest yield is associated to CM. Finally, the optimal manure blending ratio for highest bio-oil yield and lowest cost is achieved at 52% PM: 2% DM: 3% CM: 43% SM. Whereas the optimal blending ratio for lowest carbon footprint is realised at 42% PM: 21% DM: 30% CM: 7% SM. The designed model provides a thorough insight on optimal technical and environmental valorisation of livestock manures by pyrolysis.","author":[{"dropping-particle":"","family":"Parthasarathy","given":"Prakash","non-dropping-particle":"","parse-names":false,"suffix":""},{"dropping-particle":"","family":"Alherbawi","given":"Mohammad","non-dropping-particle":"","parse-names":false,"suffix":""},{"dropping-particle":"","family":"Pradhan","given":"Snigdhendubala","non-dropping-particle":"","parse-names":false,"suffix":""},{"dropping-particle":"","family":"McKay","given":"Gordon","non-dropping-particle":"","parse-names":false,"suffix":""},{"dropping-particle":"","family":"Al-Ansari","given":"Tareq","non-dropping-particle":"","parse-names":false,"suffix":""}],"container-title":"Computer Aided Chemical Engineering","id":"ITEM-1","issued":{"date-parts":[["2023","1","1"]]},"page":"2297-2302","publisher":"Elsevier","title":"Pyrolysis of livestock manures: Optimal operating conditions and feedstock blending ratios","type":"article-journal","volume":"52"},"uris":["http://www.mendeley.com/documents/?uuid=81ce8e3d-9edb-30ba-a9d5-383a42081557"]}],"mendeley":{"formattedCitation":"(Parthasarathy et al., 2023a)","plainTextFormattedCitation":"(Parthasarathy et al., 2023a)","previouslyFormattedCitation":"(Parthasarathy et al., 2023a)"},"properties":{"noteIndex":0},"schema":"https://github.com/citation-style-language/schema/raw/master/csl-citation.json"}</w:instrText>
      </w:r>
      <w:r w:rsidR="005F57BD" w:rsidRPr="00430059">
        <w:rPr>
          <w:rFonts w:cs="Arial"/>
          <w:szCs w:val="18"/>
          <w:shd w:val="clear" w:color="auto" w:fill="FFFFFF"/>
        </w:rPr>
        <w:fldChar w:fldCharType="separate"/>
      </w:r>
      <w:r w:rsidR="00ED03DB" w:rsidRPr="00430059">
        <w:rPr>
          <w:rFonts w:cs="Arial"/>
          <w:noProof/>
          <w:szCs w:val="18"/>
          <w:shd w:val="clear" w:color="auto" w:fill="FFFFFF"/>
        </w:rPr>
        <w:t>(Parthasarathy et al., 2023a)</w:t>
      </w:r>
      <w:r w:rsidR="005F57BD" w:rsidRPr="00430059">
        <w:rPr>
          <w:rFonts w:cs="Arial"/>
          <w:szCs w:val="18"/>
          <w:shd w:val="clear" w:color="auto" w:fill="FFFFFF"/>
        </w:rPr>
        <w:fldChar w:fldCharType="end"/>
      </w:r>
      <w:r w:rsidRPr="00430059">
        <w:rPr>
          <w:szCs w:val="18"/>
          <w:lang w:val="en-GB"/>
        </w:rPr>
        <w:t>.</w:t>
      </w:r>
    </w:p>
    <w:p w14:paraId="501A64B5" w14:textId="7270AAD2" w:rsidR="003D07D7" w:rsidRPr="00430059" w:rsidRDefault="003D07D7" w:rsidP="00AE3FA7">
      <w:pPr>
        <w:pStyle w:val="CETTabletitle"/>
      </w:pPr>
      <w:r w:rsidRPr="00430059">
        <w:t>Table 1: Assumptions employed for the economic analysis.</w:t>
      </w:r>
    </w:p>
    <w:tbl>
      <w:tblPr>
        <w:tblW w:w="0" w:type="auto"/>
        <w:tblLook w:val="04A0" w:firstRow="1" w:lastRow="0" w:firstColumn="1" w:lastColumn="0" w:noHBand="0" w:noVBand="1"/>
      </w:tblPr>
      <w:tblGrid>
        <w:gridCol w:w="3218"/>
        <w:gridCol w:w="1467"/>
      </w:tblGrid>
      <w:tr w:rsidR="00430059" w:rsidRPr="00430059" w14:paraId="62E927C5" w14:textId="77777777" w:rsidTr="00926DA0">
        <w:trPr>
          <w:trHeight w:val="168"/>
        </w:trPr>
        <w:tc>
          <w:tcPr>
            <w:tcW w:w="0" w:type="auto"/>
            <w:tcBorders>
              <w:top w:val="single" w:sz="12" w:space="0" w:color="008000"/>
              <w:bottom w:val="single" w:sz="6" w:space="0" w:color="008000"/>
            </w:tcBorders>
            <w:shd w:val="clear" w:color="auto" w:fill="auto"/>
            <w:noWrap/>
            <w:vAlign w:val="center"/>
          </w:tcPr>
          <w:p w14:paraId="2BD761D4" w14:textId="77777777" w:rsidR="000541E0" w:rsidRPr="00430059" w:rsidRDefault="000541E0" w:rsidP="00926DA0">
            <w:pPr>
              <w:pStyle w:val="CETBodytext"/>
              <w:spacing w:line="240" w:lineRule="auto"/>
              <w:rPr>
                <w:lang w:val="en-GB"/>
              </w:rPr>
            </w:pPr>
            <w:r w:rsidRPr="00430059">
              <w:rPr>
                <w:lang w:val="en-GB"/>
              </w:rPr>
              <w:t>Parameters</w:t>
            </w:r>
          </w:p>
        </w:tc>
        <w:tc>
          <w:tcPr>
            <w:tcW w:w="0" w:type="auto"/>
            <w:tcBorders>
              <w:top w:val="single" w:sz="12" w:space="0" w:color="008000"/>
              <w:bottom w:val="single" w:sz="6" w:space="0" w:color="008000"/>
            </w:tcBorders>
            <w:shd w:val="clear" w:color="auto" w:fill="auto"/>
            <w:noWrap/>
            <w:vAlign w:val="bottom"/>
          </w:tcPr>
          <w:p w14:paraId="00D0BCD7" w14:textId="77777777" w:rsidR="000541E0" w:rsidRPr="00430059" w:rsidRDefault="000541E0" w:rsidP="00926DA0">
            <w:pPr>
              <w:pStyle w:val="CETBodytext"/>
              <w:spacing w:line="240" w:lineRule="auto"/>
              <w:rPr>
                <w:lang w:val="en-GB"/>
              </w:rPr>
            </w:pPr>
            <w:r w:rsidRPr="00430059">
              <w:rPr>
                <w:lang w:val="en-GB"/>
              </w:rPr>
              <w:t>Values</w:t>
            </w:r>
          </w:p>
        </w:tc>
      </w:tr>
      <w:tr w:rsidR="00430059" w:rsidRPr="00430059" w14:paraId="0DC86AF1" w14:textId="77777777" w:rsidTr="00926DA0">
        <w:trPr>
          <w:trHeight w:val="129"/>
        </w:trPr>
        <w:tc>
          <w:tcPr>
            <w:tcW w:w="0" w:type="auto"/>
            <w:tcBorders>
              <w:top w:val="single" w:sz="6" w:space="0" w:color="008000"/>
            </w:tcBorders>
            <w:shd w:val="clear" w:color="auto" w:fill="auto"/>
            <w:noWrap/>
            <w:vAlign w:val="center"/>
          </w:tcPr>
          <w:p w14:paraId="25A79C17" w14:textId="77777777" w:rsidR="000541E0" w:rsidRPr="00430059" w:rsidRDefault="000541E0" w:rsidP="00926DA0">
            <w:pPr>
              <w:pStyle w:val="CETBodytext"/>
              <w:spacing w:line="240" w:lineRule="auto"/>
              <w:rPr>
                <w:lang w:val="en-GB"/>
              </w:rPr>
            </w:pPr>
            <w:r w:rsidRPr="00430059">
              <w:rPr>
                <w:lang w:val="en-GB"/>
              </w:rPr>
              <w:t>Proposed lifetime of the plant</w:t>
            </w:r>
          </w:p>
        </w:tc>
        <w:tc>
          <w:tcPr>
            <w:tcW w:w="0" w:type="auto"/>
            <w:tcBorders>
              <w:top w:val="single" w:sz="6" w:space="0" w:color="008000"/>
            </w:tcBorders>
            <w:shd w:val="clear" w:color="auto" w:fill="auto"/>
            <w:noWrap/>
            <w:vAlign w:val="bottom"/>
          </w:tcPr>
          <w:p w14:paraId="2A1BF666" w14:textId="77777777" w:rsidR="000541E0" w:rsidRPr="00430059" w:rsidRDefault="000541E0" w:rsidP="00926DA0">
            <w:pPr>
              <w:pStyle w:val="CETBodytext"/>
              <w:spacing w:line="240" w:lineRule="auto"/>
              <w:rPr>
                <w:lang w:val="en-GB"/>
              </w:rPr>
            </w:pPr>
            <w:r w:rsidRPr="00430059">
              <w:rPr>
                <w:lang w:val="en-GB"/>
              </w:rPr>
              <w:t>25 years</w:t>
            </w:r>
          </w:p>
        </w:tc>
      </w:tr>
      <w:tr w:rsidR="00430059" w:rsidRPr="00430059" w14:paraId="7231DCA9" w14:textId="77777777" w:rsidTr="00926DA0">
        <w:trPr>
          <w:trHeight w:val="180"/>
        </w:trPr>
        <w:tc>
          <w:tcPr>
            <w:tcW w:w="0" w:type="auto"/>
            <w:shd w:val="clear" w:color="auto" w:fill="auto"/>
            <w:noWrap/>
            <w:vAlign w:val="center"/>
            <w:hideMark/>
          </w:tcPr>
          <w:p w14:paraId="5CBB68C1" w14:textId="77777777" w:rsidR="000541E0" w:rsidRPr="00430059" w:rsidRDefault="000541E0" w:rsidP="00926DA0">
            <w:pPr>
              <w:pStyle w:val="CETBodytext"/>
              <w:spacing w:line="240" w:lineRule="auto"/>
              <w:rPr>
                <w:lang w:val="en-GB"/>
              </w:rPr>
            </w:pPr>
            <w:r w:rsidRPr="00430059">
              <w:rPr>
                <w:lang w:val="en-GB"/>
              </w:rPr>
              <w:t>Discount rate</w:t>
            </w:r>
          </w:p>
        </w:tc>
        <w:tc>
          <w:tcPr>
            <w:tcW w:w="0" w:type="auto"/>
            <w:shd w:val="clear" w:color="auto" w:fill="auto"/>
            <w:noWrap/>
            <w:vAlign w:val="bottom"/>
            <w:hideMark/>
          </w:tcPr>
          <w:p w14:paraId="1CAE9FB6" w14:textId="34667611" w:rsidR="000541E0" w:rsidRPr="00430059" w:rsidRDefault="000541E0" w:rsidP="00926DA0">
            <w:pPr>
              <w:pStyle w:val="CETBodytext"/>
              <w:spacing w:line="240" w:lineRule="auto"/>
              <w:rPr>
                <w:lang w:val="en-GB"/>
              </w:rPr>
            </w:pPr>
            <w:r w:rsidRPr="00430059">
              <w:rPr>
                <w:lang w:val="en-GB"/>
              </w:rPr>
              <w:t>20</w:t>
            </w:r>
            <w:r w:rsidR="00EE0B89" w:rsidRPr="00430059">
              <w:rPr>
                <w:lang w:val="en-GB"/>
              </w:rPr>
              <w:t xml:space="preserve"> %</w:t>
            </w:r>
          </w:p>
        </w:tc>
      </w:tr>
      <w:tr w:rsidR="00430059" w:rsidRPr="00430059" w14:paraId="0160812C" w14:textId="77777777" w:rsidTr="00926DA0">
        <w:trPr>
          <w:trHeight w:val="64"/>
        </w:trPr>
        <w:tc>
          <w:tcPr>
            <w:tcW w:w="0" w:type="auto"/>
            <w:shd w:val="clear" w:color="auto" w:fill="auto"/>
            <w:noWrap/>
            <w:vAlign w:val="center"/>
          </w:tcPr>
          <w:p w14:paraId="7DEB2D89" w14:textId="77777777" w:rsidR="000541E0" w:rsidRPr="00430059" w:rsidRDefault="000541E0" w:rsidP="00926DA0">
            <w:pPr>
              <w:pStyle w:val="CETBodytext"/>
              <w:spacing w:line="240" w:lineRule="auto"/>
              <w:rPr>
                <w:lang w:val="en-GB"/>
              </w:rPr>
            </w:pPr>
            <w:r w:rsidRPr="00430059">
              <w:rPr>
                <w:lang w:val="en-GB"/>
              </w:rPr>
              <w:t>Annual feed capacity</w:t>
            </w:r>
          </w:p>
        </w:tc>
        <w:tc>
          <w:tcPr>
            <w:tcW w:w="0" w:type="auto"/>
            <w:shd w:val="clear" w:color="auto" w:fill="auto"/>
            <w:noWrap/>
            <w:vAlign w:val="bottom"/>
          </w:tcPr>
          <w:p w14:paraId="423EE192" w14:textId="080A8AD0" w:rsidR="000541E0" w:rsidRPr="00430059" w:rsidRDefault="000541E0" w:rsidP="00926DA0">
            <w:pPr>
              <w:pStyle w:val="CETBodytext"/>
              <w:spacing w:line="240" w:lineRule="auto"/>
              <w:rPr>
                <w:lang w:val="en-GB"/>
              </w:rPr>
            </w:pPr>
            <w:r w:rsidRPr="00430059">
              <w:rPr>
                <w:lang w:val="en-GB"/>
              </w:rPr>
              <w:t xml:space="preserve">830000 </w:t>
            </w:r>
            <w:r w:rsidR="008F2D38" w:rsidRPr="00430059">
              <w:rPr>
                <w:lang w:val="en-GB"/>
              </w:rPr>
              <w:t>t</w:t>
            </w:r>
          </w:p>
        </w:tc>
      </w:tr>
      <w:tr w:rsidR="00430059" w:rsidRPr="00430059" w14:paraId="2E213FC1" w14:textId="77777777" w:rsidTr="00926DA0">
        <w:trPr>
          <w:trHeight w:val="64"/>
        </w:trPr>
        <w:tc>
          <w:tcPr>
            <w:tcW w:w="0" w:type="auto"/>
            <w:shd w:val="clear" w:color="auto" w:fill="auto"/>
            <w:noWrap/>
            <w:vAlign w:val="center"/>
            <w:hideMark/>
          </w:tcPr>
          <w:p w14:paraId="6E48345F" w14:textId="77777777" w:rsidR="000541E0" w:rsidRPr="00430059" w:rsidRDefault="000541E0" w:rsidP="00926DA0">
            <w:pPr>
              <w:pStyle w:val="CETBodytext"/>
              <w:spacing w:line="240" w:lineRule="auto"/>
              <w:rPr>
                <w:lang w:val="en-GB"/>
              </w:rPr>
            </w:pPr>
            <w:r w:rsidRPr="00430059">
              <w:rPr>
                <w:lang w:val="en-GB"/>
              </w:rPr>
              <w:t>Plant operating hours in a year</w:t>
            </w:r>
          </w:p>
        </w:tc>
        <w:tc>
          <w:tcPr>
            <w:tcW w:w="0" w:type="auto"/>
            <w:shd w:val="clear" w:color="auto" w:fill="auto"/>
            <w:noWrap/>
            <w:vAlign w:val="bottom"/>
            <w:hideMark/>
          </w:tcPr>
          <w:p w14:paraId="630E13FA" w14:textId="77777777" w:rsidR="000541E0" w:rsidRPr="00430059" w:rsidRDefault="000541E0" w:rsidP="00926DA0">
            <w:pPr>
              <w:pStyle w:val="CETBodytext"/>
              <w:spacing w:line="240" w:lineRule="auto"/>
              <w:rPr>
                <w:lang w:val="en-GB"/>
              </w:rPr>
            </w:pPr>
            <w:r w:rsidRPr="00430059">
              <w:rPr>
                <w:lang w:val="en-GB"/>
              </w:rPr>
              <w:t>8,000 h/y</w:t>
            </w:r>
          </w:p>
        </w:tc>
      </w:tr>
      <w:tr w:rsidR="00430059" w:rsidRPr="00430059" w14:paraId="60CC2FCC" w14:textId="77777777" w:rsidTr="00926DA0">
        <w:trPr>
          <w:trHeight w:val="99"/>
        </w:trPr>
        <w:tc>
          <w:tcPr>
            <w:tcW w:w="0" w:type="auto"/>
            <w:shd w:val="clear" w:color="auto" w:fill="auto"/>
            <w:noWrap/>
            <w:vAlign w:val="center"/>
            <w:hideMark/>
          </w:tcPr>
          <w:p w14:paraId="4C979219" w14:textId="77777777" w:rsidR="000541E0" w:rsidRPr="00430059" w:rsidRDefault="000541E0" w:rsidP="00926DA0">
            <w:pPr>
              <w:pStyle w:val="CETBodytext"/>
              <w:spacing w:line="240" w:lineRule="auto"/>
              <w:rPr>
                <w:lang w:val="en-GB"/>
              </w:rPr>
            </w:pPr>
            <w:r w:rsidRPr="00430059">
              <w:rPr>
                <w:lang w:val="en-GB"/>
              </w:rPr>
              <w:t>Raw material source to plant distance</w:t>
            </w:r>
          </w:p>
        </w:tc>
        <w:tc>
          <w:tcPr>
            <w:tcW w:w="0" w:type="auto"/>
            <w:shd w:val="clear" w:color="auto" w:fill="auto"/>
            <w:noWrap/>
            <w:vAlign w:val="bottom"/>
            <w:hideMark/>
          </w:tcPr>
          <w:p w14:paraId="6DCCB1C1" w14:textId="77777777" w:rsidR="000541E0" w:rsidRPr="00430059" w:rsidRDefault="000541E0" w:rsidP="00926DA0">
            <w:pPr>
              <w:pStyle w:val="CETBodytext"/>
              <w:spacing w:line="240" w:lineRule="auto"/>
              <w:rPr>
                <w:lang w:val="en-GB"/>
              </w:rPr>
            </w:pPr>
            <w:r w:rsidRPr="00430059">
              <w:rPr>
                <w:lang w:val="en-GB"/>
              </w:rPr>
              <w:t>100 km</w:t>
            </w:r>
          </w:p>
        </w:tc>
      </w:tr>
      <w:tr w:rsidR="00430059" w:rsidRPr="00430059" w14:paraId="2DD8D86F" w14:textId="77777777" w:rsidTr="00926DA0">
        <w:trPr>
          <w:trHeight w:val="81"/>
        </w:trPr>
        <w:tc>
          <w:tcPr>
            <w:tcW w:w="0" w:type="auto"/>
            <w:shd w:val="clear" w:color="auto" w:fill="auto"/>
            <w:noWrap/>
            <w:vAlign w:val="bottom"/>
          </w:tcPr>
          <w:p w14:paraId="14529A86" w14:textId="77777777" w:rsidR="000541E0" w:rsidRPr="00430059" w:rsidRDefault="000541E0" w:rsidP="00926DA0">
            <w:pPr>
              <w:pStyle w:val="CETBodytext"/>
              <w:spacing w:line="240" w:lineRule="auto"/>
              <w:rPr>
                <w:lang w:val="en-GB"/>
              </w:rPr>
            </w:pPr>
            <w:r w:rsidRPr="00430059">
              <w:rPr>
                <w:lang w:val="en-GB"/>
              </w:rPr>
              <w:t>Cost of poultry litter</w:t>
            </w:r>
          </w:p>
        </w:tc>
        <w:tc>
          <w:tcPr>
            <w:tcW w:w="0" w:type="auto"/>
            <w:shd w:val="clear" w:color="auto" w:fill="auto"/>
            <w:noWrap/>
            <w:vAlign w:val="bottom"/>
          </w:tcPr>
          <w:p w14:paraId="3FFED25C" w14:textId="0D2F1810" w:rsidR="000541E0" w:rsidRPr="00430059" w:rsidRDefault="000541E0" w:rsidP="00926DA0">
            <w:pPr>
              <w:pStyle w:val="CETBodytext"/>
              <w:spacing w:line="240" w:lineRule="auto"/>
              <w:rPr>
                <w:lang w:val="en-GB"/>
              </w:rPr>
            </w:pPr>
            <w:r w:rsidRPr="00430059">
              <w:rPr>
                <w:lang w:val="en-GB"/>
              </w:rPr>
              <w:t>30 USD/</w:t>
            </w:r>
            <w:r w:rsidR="008F2D38" w:rsidRPr="00430059">
              <w:rPr>
                <w:lang w:val="en-GB"/>
              </w:rPr>
              <w:t>t</w:t>
            </w:r>
          </w:p>
        </w:tc>
      </w:tr>
      <w:tr w:rsidR="00430059" w:rsidRPr="00430059" w14:paraId="52201D9D" w14:textId="77777777" w:rsidTr="00926DA0">
        <w:trPr>
          <w:trHeight w:val="64"/>
        </w:trPr>
        <w:tc>
          <w:tcPr>
            <w:tcW w:w="0" w:type="auto"/>
            <w:shd w:val="clear" w:color="auto" w:fill="auto"/>
            <w:noWrap/>
            <w:vAlign w:val="bottom"/>
          </w:tcPr>
          <w:p w14:paraId="72F3D8F6" w14:textId="77777777" w:rsidR="000541E0" w:rsidRPr="00430059" w:rsidRDefault="000541E0" w:rsidP="00926DA0">
            <w:pPr>
              <w:pStyle w:val="CETBodytext"/>
              <w:spacing w:line="240" w:lineRule="auto"/>
              <w:rPr>
                <w:lang w:val="en-GB"/>
              </w:rPr>
            </w:pPr>
            <w:r w:rsidRPr="00430059">
              <w:rPr>
                <w:lang w:val="en-GB"/>
              </w:rPr>
              <w:t>Cost of 1 unit of electricity</w:t>
            </w:r>
          </w:p>
        </w:tc>
        <w:tc>
          <w:tcPr>
            <w:tcW w:w="0" w:type="auto"/>
            <w:shd w:val="clear" w:color="auto" w:fill="auto"/>
            <w:noWrap/>
            <w:vAlign w:val="bottom"/>
          </w:tcPr>
          <w:p w14:paraId="0FD74FE1" w14:textId="77777777" w:rsidR="000541E0" w:rsidRPr="00430059" w:rsidRDefault="000541E0" w:rsidP="00926DA0">
            <w:pPr>
              <w:pStyle w:val="CETBodytext"/>
              <w:spacing w:line="240" w:lineRule="auto"/>
              <w:rPr>
                <w:lang w:val="en-GB"/>
              </w:rPr>
            </w:pPr>
            <w:r w:rsidRPr="00430059">
              <w:rPr>
                <w:lang w:val="en-GB"/>
              </w:rPr>
              <w:t>0.035 USD/kwh</w:t>
            </w:r>
          </w:p>
        </w:tc>
      </w:tr>
      <w:tr w:rsidR="00430059" w:rsidRPr="00430059" w14:paraId="695B490D" w14:textId="77777777" w:rsidTr="00926DA0">
        <w:trPr>
          <w:trHeight w:val="64"/>
        </w:trPr>
        <w:tc>
          <w:tcPr>
            <w:tcW w:w="0" w:type="auto"/>
            <w:shd w:val="clear" w:color="auto" w:fill="auto"/>
            <w:noWrap/>
            <w:vAlign w:val="bottom"/>
          </w:tcPr>
          <w:p w14:paraId="351CF6B0" w14:textId="77777777" w:rsidR="000541E0" w:rsidRPr="00430059" w:rsidRDefault="000541E0" w:rsidP="00926DA0">
            <w:pPr>
              <w:pStyle w:val="CETBodytext"/>
              <w:spacing w:line="240" w:lineRule="auto"/>
              <w:rPr>
                <w:lang w:val="en-GB"/>
              </w:rPr>
            </w:pPr>
            <w:r w:rsidRPr="00430059">
              <w:rPr>
                <w:lang w:val="en-GB"/>
              </w:rPr>
              <w:lastRenderedPageBreak/>
              <w:t>Cost of water utility</w:t>
            </w:r>
          </w:p>
        </w:tc>
        <w:tc>
          <w:tcPr>
            <w:tcW w:w="0" w:type="auto"/>
            <w:shd w:val="clear" w:color="auto" w:fill="auto"/>
            <w:noWrap/>
            <w:vAlign w:val="bottom"/>
          </w:tcPr>
          <w:p w14:paraId="333091EF" w14:textId="77777777" w:rsidR="000541E0" w:rsidRPr="00430059" w:rsidRDefault="000541E0" w:rsidP="00926DA0">
            <w:pPr>
              <w:pStyle w:val="CETBodytext"/>
              <w:spacing w:line="240" w:lineRule="auto"/>
              <w:rPr>
                <w:lang w:val="en-GB"/>
              </w:rPr>
            </w:pPr>
            <w:r w:rsidRPr="00430059">
              <w:rPr>
                <w:lang w:val="en-GB"/>
              </w:rPr>
              <w:t>1.479 USD/m</w:t>
            </w:r>
            <w:r w:rsidRPr="00430059">
              <w:rPr>
                <w:vertAlign w:val="superscript"/>
                <w:lang w:val="en-GB"/>
              </w:rPr>
              <w:t>3</w:t>
            </w:r>
          </w:p>
        </w:tc>
      </w:tr>
      <w:tr w:rsidR="00430059" w:rsidRPr="00430059" w14:paraId="776FAA87" w14:textId="77777777" w:rsidTr="00926DA0">
        <w:trPr>
          <w:trHeight w:val="64"/>
        </w:trPr>
        <w:tc>
          <w:tcPr>
            <w:tcW w:w="0" w:type="auto"/>
            <w:shd w:val="clear" w:color="auto" w:fill="auto"/>
            <w:noWrap/>
            <w:vAlign w:val="bottom"/>
          </w:tcPr>
          <w:p w14:paraId="6E0E5FA5" w14:textId="77777777" w:rsidR="000541E0" w:rsidRPr="00430059" w:rsidRDefault="000541E0" w:rsidP="00926DA0">
            <w:pPr>
              <w:pStyle w:val="CETBodytext"/>
              <w:spacing w:line="240" w:lineRule="auto"/>
              <w:rPr>
                <w:lang w:val="en-GB"/>
              </w:rPr>
            </w:pPr>
            <w:r w:rsidRPr="00430059">
              <w:rPr>
                <w:lang w:val="en-GB"/>
              </w:rPr>
              <w:t>Cost of N</w:t>
            </w:r>
            <w:r w:rsidRPr="00430059">
              <w:rPr>
                <w:vertAlign w:val="subscript"/>
                <w:lang w:val="en-GB"/>
              </w:rPr>
              <w:t>2</w:t>
            </w:r>
            <w:r w:rsidRPr="00430059">
              <w:rPr>
                <w:lang w:val="en-GB"/>
              </w:rPr>
              <w:t xml:space="preserve"> gas</w:t>
            </w:r>
          </w:p>
        </w:tc>
        <w:tc>
          <w:tcPr>
            <w:tcW w:w="0" w:type="auto"/>
            <w:shd w:val="clear" w:color="auto" w:fill="auto"/>
            <w:noWrap/>
            <w:vAlign w:val="bottom"/>
            <w:hideMark/>
          </w:tcPr>
          <w:p w14:paraId="38783AAC" w14:textId="77777777" w:rsidR="000541E0" w:rsidRPr="00430059" w:rsidRDefault="000541E0" w:rsidP="00926DA0">
            <w:pPr>
              <w:pStyle w:val="CETBodytext"/>
              <w:spacing w:line="240" w:lineRule="auto"/>
              <w:rPr>
                <w:lang w:val="en-GB"/>
              </w:rPr>
            </w:pPr>
            <w:r w:rsidRPr="00430059">
              <w:rPr>
                <w:lang w:val="en-GB"/>
              </w:rPr>
              <w:t>0.15 USD/kg</w:t>
            </w:r>
          </w:p>
        </w:tc>
      </w:tr>
      <w:tr w:rsidR="00430059" w:rsidRPr="00430059" w14:paraId="761AB9DF" w14:textId="77777777" w:rsidTr="00926DA0">
        <w:trPr>
          <w:trHeight w:val="64"/>
        </w:trPr>
        <w:tc>
          <w:tcPr>
            <w:tcW w:w="0" w:type="auto"/>
            <w:shd w:val="clear" w:color="auto" w:fill="auto"/>
            <w:noWrap/>
            <w:vAlign w:val="bottom"/>
          </w:tcPr>
          <w:p w14:paraId="11EDF947" w14:textId="77777777" w:rsidR="000541E0" w:rsidRPr="00430059" w:rsidRDefault="000541E0" w:rsidP="00926DA0">
            <w:pPr>
              <w:pStyle w:val="CETBodytext"/>
              <w:spacing w:line="240" w:lineRule="auto"/>
              <w:rPr>
                <w:lang w:val="en-GB"/>
              </w:rPr>
            </w:pPr>
            <w:r w:rsidRPr="00430059">
              <w:rPr>
                <w:lang w:val="en-GB"/>
              </w:rPr>
              <w:t>Market price of biochar</w:t>
            </w:r>
          </w:p>
        </w:tc>
        <w:tc>
          <w:tcPr>
            <w:tcW w:w="0" w:type="auto"/>
            <w:shd w:val="clear" w:color="auto" w:fill="auto"/>
            <w:noWrap/>
            <w:vAlign w:val="bottom"/>
          </w:tcPr>
          <w:p w14:paraId="7180D28F" w14:textId="77777777" w:rsidR="000541E0" w:rsidRPr="00430059" w:rsidRDefault="000541E0" w:rsidP="00926DA0">
            <w:pPr>
              <w:pStyle w:val="CETBodytext"/>
              <w:spacing w:line="240" w:lineRule="auto"/>
              <w:rPr>
                <w:lang w:val="en-GB"/>
              </w:rPr>
            </w:pPr>
            <w:r w:rsidRPr="00430059">
              <w:rPr>
                <w:lang w:val="en-GB"/>
              </w:rPr>
              <w:t>0.2 USD/kg</w:t>
            </w:r>
          </w:p>
        </w:tc>
      </w:tr>
      <w:tr w:rsidR="00430059" w:rsidRPr="00430059" w14:paraId="492134C1" w14:textId="77777777" w:rsidTr="00926DA0">
        <w:trPr>
          <w:trHeight w:val="64"/>
        </w:trPr>
        <w:tc>
          <w:tcPr>
            <w:tcW w:w="0" w:type="auto"/>
            <w:shd w:val="clear" w:color="auto" w:fill="auto"/>
            <w:noWrap/>
            <w:vAlign w:val="bottom"/>
          </w:tcPr>
          <w:p w14:paraId="7A599F03" w14:textId="77777777" w:rsidR="000541E0" w:rsidRPr="00430059" w:rsidRDefault="000541E0" w:rsidP="00926DA0">
            <w:pPr>
              <w:pStyle w:val="CETBodytext"/>
              <w:spacing w:line="240" w:lineRule="auto"/>
              <w:rPr>
                <w:lang w:val="en-GB"/>
              </w:rPr>
            </w:pPr>
            <w:r w:rsidRPr="00430059">
              <w:rPr>
                <w:lang w:val="en-GB"/>
              </w:rPr>
              <w:t>Market price of Bio-oil</w:t>
            </w:r>
          </w:p>
        </w:tc>
        <w:tc>
          <w:tcPr>
            <w:tcW w:w="0" w:type="auto"/>
            <w:shd w:val="clear" w:color="auto" w:fill="auto"/>
            <w:noWrap/>
            <w:vAlign w:val="bottom"/>
          </w:tcPr>
          <w:p w14:paraId="5B3631CC" w14:textId="77777777" w:rsidR="000541E0" w:rsidRPr="00430059" w:rsidRDefault="000541E0" w:rsidP="00926DA0">
            <w:pPr>
              <w:pStyle w:val="CETBodytext"/>
              <w:spacing w:line="240" w:lineRule="auto"/>
              <w:rPr>
                <w:lang w:val="en-GB"/>
              </w:rPr>
            </w:pPr>
            <w:r w:rsidRPr="00430059">
              <w:rPr>
                <w:lang w:val="en-GB"/>
              </w:rPr>
              <w:t>0.4 USD/kg</w:t>
            </w:r>
          </w:p>
        </w:tc>
      </w:tr>
      <w:tr w:rsidR="00430059" w:rsidRPr="00430059" w14:paraId="53E8A4FE" w14:textId="77777777" w:rsidTr="00926DA0">
        <w:trPr>
          <w:trHeight w:val="64"/>
        </w:trPr>
        <w:tc>
          <w:tcPr>
            <w:tcW w:w="0" w:type="auto"/>
            <w:shd w:val="clear" w:color="auto" w:fill="auto"/>
            <w:noWrap/>
            <w:vAlign w:val="bottom"/>
            <w:hideMark/>
          </w:tcPr>
          <w:p w14:paraId="19F19B32" w14:textId="77777777" w:rsidR="000541E0" w:rsidRPr="00430059" w:rsidRDefault="000541E0" w:rsidP="00926DA0">
            <w:pPr>
              <w:pStyle w:val="CETBodytext"/>
              <w:spacing w:line="240" w:lineRule="auto"/>
              <w:rPr>
                <w:lang w:val="en-GB"/>
              </w:rPr>
            </w:pPr>
            <w:r w:rsidRPr="00430059">
              <w:rPr>
                <w:lang w:val="en-GB"/>
              </w:rPr>
              <w:t>Market price of Syngas</w:t>
            </w:r>
          </w:p>
        </w:tc>
        <w:tc>
          <w:tcPr>
            <w:tcW w:w="0" w:type="auto"/>
            <w:shd w:val="clear" w:color="auto" w:fill="auto"/>
            <w:noWrap/>
            <w:vAlign w:val="bottom"/>
            <w:hideMark/>
          </w:tcPr>
          <w:p w14:paraId="64DB80CA" w14:textId="77777777" w:rsidR="000541E0" w:rsidRPr="00430059" w:rsidRDefault="000541E0" w:rsidP="00926DA0">
            <w:pPr>
              <w:pStyle w:val="CETBodytext"/>
              <w:spacing w:line="240" w:lineRule="auto"/>
              <w:rPr>
                <w:lang w:val="en-GB"/>
              </w:rPr>
            </w:pPr>
            <w:r w:rsidRPr="00430059">
              <w:rPr>
                <w:lang w:val="en-GB"/>
              </w:rPr>
              <w:t>0.056 USD/kg</w:t>
            </w:r>
          </w:p>
        </w:tc>
      </w:tr>
      <w:tr w:rsidR="00430059" w:rsidRPr="00430059" w14:paraId="1C0BFF54" w14:textId="77777777" w:rsidTr="00926DA0">
        <w:trPr>
          <w:trHeight w:val="64"/>
        </w:trPr>
        <w:tc>
          <w:tcPr>
            <w:tcW w:w="0" w:type="auto"/>
            <w:shd w:val="clear" w:color="auto" w:fill="auto"/>
            <w:noWrap/>
            <w:vAlign w:val="bottom"/>
            <w:hideMark/>
          </w:tcPr>
          <w:p w14:paraId="1F0E756C" w14:textId="0BDE84B1" w:rsidR="000541E0" w:rsidRPr="00430059" w:rsidRDefault="000541E0" w:rsidP="00926DA0">
            <w:pPr>
              <w:pStyle w:val="CETBodytext"/>
              <w:spacing w:line="240" w:lineRule="auto"/>
              <w:rPr>
                <w:lang w:val="en-GB"/>
              </w:rPr>
            </w:pPr>
            <w:r w:rsidRPr="00430059">
              <w:rPr>
                <w:lang w:val="en-GB"/>
              </w:rPr>
              <w:t>Drying efficiency of the drier (</w:t>
            </w:r>
            <w:r w:rsidR="00EE0B89" w:rsidRPr="00430059">
              <w:rPr>
                <w:lang w:val="en-GB"/>
              </w:rPr>
              <w:t xml:space="preserve"> %</w:t>
            </w:r>
            <w:r w:rsidRPr="00430059">
              <w:rPr>
                <w:lang w:val="en-GB"/>
              </w:rPr>
              <w:t>)</w:t>
            </w:r>
          </w:p>
        </w:tc>
        <w:tc>
          <w:tcPr>
            <w:tcW w:w="0" w:type="auto"/>
            <w:shd w:val="clear" w:color="auto" w:fill="auto"/>
            <w:noWrap/>
            <w:vAlign w:val="bottom"/>
            <w:hideMark/>
          </w:tcPr>
          <w:p w14:paraId="08BB7F36" w14:textId="5DC836F5" w:rsidR="000541E0" w:rsidRPr="00430059" w:rsidRDefault="000541E0" w:rsidP="00926DA0">
            <w:pPr>
              <w:pStyle w:val="CETBodytext"/>
              <w:spacing w:line="240" w:lineRule="auto"/>
              <w:rPr>
                <w:lang w:val="en-GB"/>
              </w:rPr>
            </w:pPr>
            <w:r w:rsidRPr="00430059">
              <w:rPr>
                <w:lang w:val="en-GB"/>
              </w:rPr>
              <w:t>90</w:t>
            </w:r>
            <w:r w:rsidR="00EE0B89" w:rsidRPr="00430059">
              <w:rPr>
                <w:lang w:val="en-GB"/>
              </w:rPr>
              <w:t xml:space="preserve"> %</w:t>
            </w:r>
          </w:p>
        </w:tc>
      </w:tr>
      <w:tr w:rsidR="00430059" w:rsidRPr="00430059" w14:paraId="08C3B0B5" w14:textId="77777777" w:rsidTr="00926DA0">
        <w:trPr>
          <w:trHeight w:val="64"/>
        </w:trPr>
        <w:tc>
          <w:tcPr>
            <w:tcW w:w="0" w:type="auto"/>
            <w:tcBorders>
              <w:bottom w:val="single" w:sz="12" w:space="0" w:color="008000"/>
            </w:tcBorders>
            <w:shd w:val="clear" w:color="auto" w:fill="auto"/>
            <w:noWrap/>
            <w:vAlign w:val="bottom"/>
            <w:hideMark/>
          </w:tcPr>
          <w:p w14:paraId="134F02A6" w14:textId="77777777" w:rsidR="000541E0" w:rsidRPr="00430059" w:rsidRDefault="000541E0" w:rsidP="00926DA0">
            <w:pPr>
              <w:pStyle w:val="CETBodytext"/>
              <w:spacing w:line="240" w:lineRule="auto"/>
              <w:rPr>
                <w:lang w:val="en-GB"/>
              </w:rPr>
            </w:pPr>
            <w:r w:rsidRPr="00430059">
              <w:rPr>
                <w:lang w:val="en-GB"/>
              </w:rPr>
              <w:t>Flow rate of nitrogen for the process</w:t>
            </w:r>
          </w:p>
        </w:tc>
        <w:tc>
          <w:tcPr>
            <w:tcW w:w="0" w:type="auto"/>
            <w:tcBorders>
              <w:bottom w:val="single" w:sz="12" w:space="0" w:color="008000"/>
            </w:tcBorders>
            <w:shd w:val="clear" w:color="auto" w:fill="auto"/>
            <w:noWrap/>
            <w:vAlign w:val="bottom"/>
            <w:hideMark/>
          </w:tcPr>
          <w:p w14:paraId="59255892" w14:textId="48B5C1B8" w:rsidR="000541E0" w:rsidRPr="00430059" w:rsidRDefault="000541E0" w:rsidP="00926DA0">
            <w:pPr>
              <w:pStyle w:val="CETBodytext"/>
              <w:spacing w:line="240" w:lineRule="auto"/>
              <w:rPr>
                <w:lang w:val="en-GB"/>
              </w:rPr>
            </w:pPr>
            <w:r w:rsidRPr="00430059">
              <w:rPr>
                <w:lang w:val="en-GB"/>
              </w:rPr>
              <w:t xml:space="preserve">5 litre/min. </w:t>
            </w:r>
            <w:r w:rsidR="008F2D38" w:rsidRPr="00430059">
              <w:rPr>
                <w:lang w:val="en-GB"/>
              </w:rPr>
              <w:t>t</w:t>
            </w:r>
          </w:p>
        </w:tc>
      </w:tr>
    </w:tbl>
    <w:p w14:paraId="677EBFF0" w14:textId="6959FF67" w:rsidR="00600535" w:rsidRPr="00430059" w:rsidRDefault="000541E0" w:rsidP="00AE3FA7">
      <w:pPr>
        <w:pStyle w:val="CETHeading1"/>
        <w:tabs>
          <w:tab w:val="clear" w:pos="360"/>
          <w:tab w:val="right" w:pos="7100"/>
        </w:tabs>
        <w:jc w:val="both"/>
        <w:rPr>
          <w:lang w:val="en-GB"/>
        </w:rPr>
      </w:pPr>
      <w:r w:rsidRPr="00430059">
        <w:rPr>
          <w:lang w:val="en-GB"/>
        </w:rPr>
        <w:t>Results and discussion</w:t>
      </w:r>
    </w:p>
    <w:p w14:paraId="04963A06" w14:textId="2A86CC7C" w:rsidR="00600535" w:rsidRPr="00430059" w:rsidRDefault="000541E0" w:rsidP="00AE3FA7">
      <w:pPr>
        <w:pStyle w:val="CETheadingx"/>
      </w:pPr>
      <w:r w:rsidRPr="00430059">
        <w:t>Quantification of poultry litter waste generation</w:t>
      </w:r>
    </w:p>
    <w:p w14:paraId="1C83D4B0" w14:textId="3E96EA2B" w:rsidR="000541E0" w:rsidRPr="00430059" w:rsidRDefault="002143FD" w:rsidP="00AE3FA7">
      <w:pPr>
        <w:pStyle w:val="CETListbullets"/>
        <w:ind w:left="0" w:firstLine="0"/>
      </w:pPr>
      <w:r w:rsidRPr="00430059">
        <w:t>A</w:t>
      </w:r>
      <w:r w:rsidR="000541E0" w:rsidRPr="00430059">
        <w:t xml:space="preserve">pproximately 25,927,600 poultry livestock are raised in Qatar. The availability of poultry litter is determined based on the assumption that a poultry produces 32 kg of litter each year. Based on this, the amount of poultry litter is estimated to be 830,000 </w:t>
      </w:r>
      <w:r w:rsidR="008F2D38" w:rsidRPr="00430059">
        <w:t>t</w:t>
      </w:r>
      <w:r w:rsidR="000541E0" w:rsidRPr="00430059">
        <w:t>/y.</w:t>
      </w:r>
    </w:p>
    <w:p w14:paraId="1F96CA21" w14:textId="2311DFE8" w:rsidR="00600535" w:rsidRPr="00430059" w:rsidRDefault="002143FD" w:rsidP="00AE3FA7">
      <w:pPr>
        <w:pStyle w:val="CETheadingx"/>
      </w:pPr>
      <w:r w:rsidRPr="00430059">
        <w:t>Techno</w:t>
      </w:r>
      <w:r w:rsidR="000541E0" w:rsidRPr="00430059">
        <w:t>-economic analysis</w:t>
      </w:r>
    </w:p>
    <w:p w14:paraId="67E7D6BE" w14:textId="6F56C267" w:rsidR="00600535" w:rsidRPr="00430059" w:rsidRDefault="000541E0" w:rsidP="00AE3FA7">
      <w:pPr>
        <w:pStyle w:val="CETBodytext"/>
        <w:rPr>
          <w:lang w:val="en-GB"/>
        </w:rPr>
      </w:pPr>
      <w:r w:rsidRPr="00430059">
        <w:rPr>
          <w:lang w:val="en-GB"/>
        </w:rPr>
        <w:t>The proximate, elemental, and thermal analyses outcomes of poultry litter are provided in Table 2.</w:t>
      </w:r>
    </w:p>
    <w:p w14:paraId="7EE800E1" w14:textId="55E0C71B" w:rsidR="00C72BF2" w:rsidRPr="00430059" w:rsidRDefault="00C72BF2" w:rsidP="00AE3FA7">
      <w:pPr>
        <w:pStyle w:val="CETTabletitle"/>
      </w:pPr>
      <w:r w:rsidRPr="00430059">
        <w:t>Table 1: Typical characteristics of poultry litter waste in Qatar.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887"/>
      </w:tblGrid>
      <w:tr w:rsidR="00430059" w:rsidRPr="00430059" w14:paraId="4EEDBF4D" w14:textId="77777777" w:rsidTr="00C72BF2">
        <w:tc>
          <w:tcPr>
            <w:tcW w:w="0" w:type="auto"/>
            <w:tcBorders>
              <w:top w:val="single" w:sz="12" w:space="0" w:color="008000"/>
              <w:bottom w:val="single" w:sz="6" w:space="0" w:color="008000"/>
            </w:tcBorders>
          </w:tcPr>
          <w:p w14:paraId="21853C18" w14:textId="16F77F9B" w:rsidR="00C72BF2" w:rsidRPr="00430059" w:rsidRDefault="00C72BF2" w:rsidP="00AE3FA7">
            <w:pPr>
              <w:spacing w:line="240" w:lineRule="auto"/>
              <w:rPr>
                <w:rFonts w:cs="Arial"/>
                <w:szCs w:val="18"/>
              </w:rPr>
            </w:pPr>
            <w:r w:rsidRPr="00430059">
              <w:rPr>
                <w:rFonts w:cs="Arial"/>
                <w:szCs w:val="18"/>
              </w:rPr>
              <w:t>Proximate analysis (</w:t>
            </w:r>
            <w:r w:rsidR="00EE0B89" w:rsidRPr="00430059">
              <w:rPr>
                <w:rFonts w:cs="Arial"/>
                <w:szCs w:val="18"/>
              </w:rPr>
              <w:t xml:space="preserve"> %</w:t>
            </w:r>
            <w:r w:rsidRPr="00430059">
              <w:rPr>
                <w:rFonts w:cs="Arial"/>
                <w:szCs w:val="18"/>
              </w:rPr>
              <w:t>)</w:t>
            </w:r>
          </w:p>
        </w:tc>
        <w:tc>
          <w:tcPr>
            <w:tcW w:w="0" w:type="auto"/>
            <w:tcBorders>
              <w:top w:val="single" w:sz="12" w:space="0" w:color="008000"/>
              <w:bottom w:val="single" w:sz="6" w:space="0" w:color="008000"/>
            </w:tcBorders>
          </w:tcPr>
          <w:p w14:paraId="0F5F1D25" w14:textId="77777777" w:rsidR="00C72BF2" w:rsidRPr="00430059" w:rsidRDefault="00C72BF2" w:rsidP="00AE3FA7">
            <w:pPr>
              <w:spacing w:line="240" w:lineRule="auto"/>
              <w:rPr>
                <w:rFonts w:cs="Arial"/>
                <w:szCs w:val="18"/>
              </w:rPr>
            </w:pPr>
            <w:r w:rsidRPr="00430059">
              <w:rPr>
                <w:rFonts w:cs="Arial"/>
                <w:szCs w:val="18"/>
              </w:rPr>
              <w:t>Air-dried basis</w:t>
            </w:r>
          </w:p>
        </w:tc>
      </w:tr>
      <w:tr w:rsidR="00430059" w:rsidRPr="00430059" w14:paraId="746AB3DE" w14:textId="77777777" w:rsidTr="00C72BF2">
        <w:tc>
          <w:tcPr>
            <w:tcW w:w="0" w:type="auto"/>
            <w:tcBorders>
              <w:top w:val="single" w:sz="6" w:space="0" w:color="008000"/>
            </w:tcBorders>
          </w:tcPr>
          <w:p w14:paraId="11D0C2EB" w14:textId="77777777" w:rsidR="00C72BF2" w:rsidRPr="00430059" w:rsidRDefault="00C72BF2" w:rsidP="00AE3FA7">
            <w:pPr>
              <w:spacing w:line="240" w:lineRule="auto"/>
              <w:rPr>
                <w:rFonts w:cs="Arial"/>
                <w:szCs w:val="18"/>
              </w:rPr>
            </w:pPr>
            <w:r w:rsidRPr="00430059">
              <w:rPr>
                <w:rFonts w:cs="Arial"/>
                <w:szCs w:val="18"/>
              </w:rPr>
              <w:t>Moisture</w:t>
            </w:r>
          </w:p>
        </w:tc>
        <w:tc>
          <w:tcPr>
            <w:tcW w:w="0" w:type="auto"/>
            <w:tcBorders>
              <w:top w:val="single" w:sz="6" w:space="0" w:color="008000"/>
            </w:tcBorders>
          </w:tcPr>
          <w:p w14:paraId="10D271F6" w14:textId="77777777" w:rsidR="00C72BF2" w:rsidRPr="00430059" w:rsidRDefault="00C72BF2" w:rsidP="00AE3FA7">
            <w:pPr>
              <w:spacing w:line="240" w:lineRule="auto"/>
              <w:rPr>
                <w:rFonts w:cs="Arial"/>
                <w:szCs w:val="18"/>
              </w:rPr>
            </w:pPr>
            <w:r w:rsidRPr="00430059">
              <w:rPr>
                <w:rFonts w:cs="Arial"/>
                <w:szCs w:val="18"/>
              </w:rPr>
              <w:t>8.02</w:t>
            </w:r>
          </w:p>
        </w:tc>
      </w:tr>
      <w:tr w:rsidR="00430059" w:rsidRPr="00430059" w14:paraId="6A3F2C6E" w14:textId="77777777" w:rsidTr="00C72BF2">
        <w:tc>
          <w:tcPr>
            <w:tcW w:w="0" w:type="auto"/>
          </w:tcPr>
          <w:p w14:paraId="3C83531F" w14:textId="77777777" w:rsidR="00C72BF2" w:rsidRPr="00430059" w:rsidRDefault="00C72BF2" w:rsidP="00AE3FA7">
            <w:pPr>
              <w:spacing w:line="240" w:lineRule="auto"/>
              <w:rPr>
                <w:rFonts w:cs="Arial"/>
                <w:szCs w:val="18"/>
              </w:rPr>
            </w:pPr>
            <w:r w:rsidRPr="00430059">
              <w:rPr>
                <w:rFonts w:cs="Arial"/>
                <w:szCs w:val="18"/>
              </w:rPr>
              <w:t>Volatile matter</w:t>
            </w:r>
          </w:p>
        </w:tc>
        <w:tc>
          <w:tcPr>
            <w:tcW w:w="0" w:type="auto"/>
          </w:tcPr>
          <w:p w14:paraId="15188F53" w14:textId="77777777" w:rsidR="00C72BF2" w:rsidRPr="00430059" w:rsidRDefault="00C72BF2" w:rsidP="00AE3FA7">
            <w:pPr>
              <w:spacing w:line="240" w:lineRule="auto"/>
              <w:rPr>
                <w:rFonts w:cs="Arial"/>
                <w:szCs w:val="18"/>
              </w:rPr>
            </w:pPr>
            <w:r w:rsidRPr="00430059">
              <w:rPr>
                <w:rFonts w:cs="Arial"/>
                <w:szCs w:val="18"/>
              </w:rPr>
              <w:t>60.31</w:t>
            </w:r>
          </w:p>
        </w:tc>
      </w:tr>
      <w:tr w:rsidR="00430059" w:rsidRPr="00430059" w14:paraId="25889FC0" w14:textId="77777777" w:rsidTr="00C72BF2">
        <w:tc>
          <w:tcPr>
            <w:tcW w:w="0" w:type="auto"/>
          </w:tcPr>
          <w:p w14:paraId="14986A87" w14:textId="77777777" w:rsidR="00C72BF2" w:rsidRPr="00430059" w:rsidRDefault="00C72BF2" w:rsidP="00AE3FA7">
            <w:pPr>
              <w:spacing w:line="240" w:lineRule="auto"/>
              <w:rPr>
                <w:rFonts w:cs="Arial"/>
                <w:szCs w:val="18"/>
              </w:rPr>
            </w:pPr>
            <w:r w:rsidRPr="00430059">
              <w:rPr>
                <w:rFonts w:cs="Arial"/>
                <w:szCs w:val="18"/>
              </w:rPr>
              <w:t>Fixed carbon</w:t>
            </w:r>
          </w:p>
        </w:tc>
        <w:tc>
          <w:tcPr>
            <w:tcW w:w="0" w:type="auto"/>
          </w:tcPr>
          <w:p w14:paraId="363B8C78" w14:textId="77777777" w:rsidR="00C72BF2" w:rsidRPr="00430059" w:rsidRDefault="00C72BF2" w:rsidP="00AE3FA7">
            <w:pPr>
              <w:spacing w:line="240" w:lineRule="auto"/>
              <w:rPr>
                <w:rFonts w:cs="Arial"/>
                <w:szCs w:val="18"/>
              </w:rPr>
            </w:pPr>
            <w:r w:rsidRPr="00430059">
              <w:rPr>
                <w:rFonts w:cs="Arial"/>
                <w:szCs w:val="18"/>
              </w:rPr>
              <w:t>16.25</w:t>
            </w:r>
          </w:p>
        </w:tc>
      </w:tr>
      <w:tr w:rsidR="00430059" w:rsidRPr="00430059" w14:paraId="449A7AEA" w14:textId="77777777" w:rsidTr="00C72BF2">
        <w:tc>
          <w:tcPr>
            <w:tcW w:w="0" w:type="auto"/>
            <w:tcBorders>
              <w:bottom w:val="single" w:sz="12" w:space="0" w:color="008000"/>
            </w:tcBorders>
          </w:tcPr>
          <w:p w14:paraId="05655F85" w14:textId="77777777" w:rsidR="00C72BF2" w:rsidRPr="00430059" w:rsidRDefault="00C72BF2" w:rsidP="00AE3FA7">
            <w:pPr>
              <w:spacing w:line="240" w:lineRule="auto"/>
              <w:rPr>
                <w:rFonts w:cs="Arial"/>
                <w:szCs w:val="18"/>
              </w:rPr>
            </w:pPr>
            <w:r w:rsidRPr="00430059">
              <w:rPr>
                <w:rFonts w:cs="Arial"/>
                <w:szCs w:val="18"/>
              </w:rPr>
              <w:t>Ash</w:t>
            </w:r>
          </w:p>
        </w:tc>
        <w:tc>
          <w:tcPr>
            <w:tcW w:w="0" w:type="auto"/>
            <w:tcBorders>
              <w:bottom w:val="single" w:sz="12" w:space="0" w:color="008000"/>
            </w:tcBorders>
          </w:tcPr>
          <w:p w14:paraId="1D0E31D5" w14:textId="77777777" w:rsidR="00C72BF2" w:rsidRPr="00430059" w:rsidRDefault="00C72BF2" w:rsidP="00AE3FA7">
            <w:pPr>
              <w:spacing w:line="240" w:lineRule="auto"/>
              <w:rPr>
                <w:rFonts w:cs="Arial"/>
                <w:szCs w:val="18"/>
              </w:rPr>
            </w:pPr>
            <w:r w:rsidRPr="00430059">
              <w:rPr>
                <w:rFonts w:cs="Arial"/>
                <w:szCs w:val="18"/>
              </w:rPr>
              <w:t>15.42</w:t>
            </w:r>
          </w:p>
        </w:tc>
      </w:tr>
      <w:tr w:rsidR="00430059" w:rsidRPr="00430059" w14:paraId="11E067C9" w14:textId="77777777" w:rsidTr="00C72BF2">
        <w:tc>
          <w:tcPr>
            <w:tcW w:w="0" w:type="auto"/>
            <w:tcBorders>
              <w:top w:val="single" w:sz="12" w:space="0" w:color="008000"/>
              <w:bottom w:val="single" w:sz="6" w:space="0" w:color="008000"/>
            </w:tcBorders>
          </w:tcPr>
          <w:p w14:paraId="756A483C" w14:textId="4E59423E" w:rsidR="00C72BF2" w:rsidRPr="00430059" w:rsidRDefault="00C72BF2" w:rsidP="00AE3FA7">
            <w:pPr>
              <w:spacing w:line="240" w:lineRule="auto"/>
              <w:rPr>
                <w:rFonts w:cs="Arial"/>
                <w:szCs w:val="18"/>
              </w:rPr>
            </w:pPr>
            <w:r w:rsidRPr="00430059">
              <w:rPr>
                <w:rFonts w:cs="Arial"/>
                <w:szCs w:val="18"/>
              </w:rPr>
              <w:t>Elemental analysis (</w:t>
            </w:r>
            <w:r w:rsidR="00EE0B89" w:rsidRPr="00430059">
              <w:rPr>
                <w:rFonts w:cs="Arial"/>
                <w:szCs w:val="18"/>
              </w:rPr>
              <w:t xml:space="preserve"> %</w:t>
            </w:r>
            <w:r w:rsidRPr="00430059">
              <w:rPr>
                <w:rFonts w:cs="Arial"/>
                <w:szCs w:val="18"/>
              </w:rPr>
              <w:t>)</w:t>
            </w:r>
          </w:p>
        </w:tc>
        <w:tc>
          <w:tcPr>
            <w:tcW w:w="0" w:type="auto"/>
            <w:tcBorders>
              <w:top w:val="single" w:sz="12" w:space="0" w:color="008000"/>
              <w:bottom w:val="single" w:sz="6" w:space="0" w:color="008000"/>
            </w:tcBorders>
          </w:tcPr>
          <w:p w14:paraId="09620EDA" w14:textId="77777777" w:rsidR="00C72BF2" w:rsidRPr="00430059" w:rsidRDefault="00C72BF2" w:rsidP="00AE3FA7">
            <w:pPr>
              <w:spacing w:line="240" w:lineRule="auto"/>
              <w:rPr>
                <w:rFonts w:cs="Arial"/>
                <w:szCs w:val="18"/>
              </w:rPr>
            </w:pPr>
            <w:r w:rsidRPr="00430059">
              <w:rPr>
                <w:rFonts w:cs="Arial"/>
                <w:szCs w:val="18"/>
              </w:rPr>
              <w:t>Dry-basis</w:t>
            </w:r>
          </w:p>
        </w:tc>
      </w:tr>
      <w:tr w:rsidR="00430059" w:rsidRPr="00430059" w14:paraId="0D340016" w14:textId="77777777" w:rsidTr="00C72BF2">
        <w:tc>
          <w:tcPr>
            <w:tcW w:w="0" w:type="auto"/>
            <w:tcBorders>
              <w:top w:val="single" w:sz="6" w:space="0" w:color="008000"/>
            </w:tcBorders>
          </w:tcPr>
          <w:p w14:paraId="68FA5266" w14:textId="77777777" w:rsidR="00C72BF2" w:rsidRPr="00430059" w:rsidRDefault="00C72BF2" w:rsidP="00AE3FA7">
            <w:pPr>
              <w:spacing w:line="240" w:lineRule="auto"/>
              <w:rPr>
                <w:rFonts w:cs="Arial"/>
                <w:szCs w:val="18"/>
              </w:rPr>
            </w:pPr>
            <w:r w:rsidRPr="00430059">
              <w:rPr>
                <w:rFonts w:cs="Arial"/>
                <w:szCs w:val="18"/>
              </w:rPr>
              <w:t>Carbon</w:t>
            </w:r>
          </w:p>
        </w:tc>
        <w:tc>
          <w:tcPr>
            <w:tcW w:w="0" w:type="auto"/>
            <w:tcBorders>
              <w:top w:val="single" w:sz="6" w:space="0" w:color="008000"/>
            </w:tcBorders>
          </w:tcPr>
          <w:p w14:paraId="6637FEBA" w14:textId="77777777" w:rsidR="00C72BF2" w:rsidRPr="00430059" w:rsidRDefault="00C72BF2" w:rsidP="00AE3FA7">
            <w:pPr>
              <w:spacing w:line="240" w:lineRule="auto"/>
              <w:rPr>
                <w:rFonts w:cs="Arial"/>
                <w:szCs w:val="18"/>
              </w:rPr>
            </w:pPr>
            <w:r w:rsidRPr="00430059">
              <w:rPr>
                <w:rFonts w:cs="Arial"/>
                <w:szCs w:val="18"/>
              </w:rPr>
              <w:t>40.02</w:t>
            </w:r>
          </w:p>
        </w:tc>
      </w:tr>
      <w:tr w:rsidR="00430059" w:rsidRPr="00430059" w14:paraId="44F5127A" w14:textId="77777777" w:rsidTr="00C72BF2">
        <w:tc>
          <w:tcPr>
            <w:tcW w:w="0" w:type="auto"/>
          </w:tcPr>
          <w:p w14:paraId="1EF40FA8" w14:textId="77777777" w:rsidR="00C72BF2" w:rsidRPr="00430059" w:rsidRDefault="00C72BF2" w:rsidP="00AE3FA7">
            <w:pPr>
              <w:spacing w:line="240" w:lineRule="auto"/>
              <w:rPr>
                <w:rFonts w:cs="Arial"/>
                <w:szCs w:val="18"/>
              </w:rPr>
            </w:pPr>
            <w:r w:rsidRPr="00430059">
              <w:rPr>
                <w:rFonts w:cs="Arial"/>
                <w:szCs w:val="18"/>
              </w:rPr>
              <w:t>Hydrogen</w:t>
            </w:r>
          </w:p>
        </w:tc>
        <w:tc>
          <w:tcPr>
            <w:tcW w:w="0" w:type="auto"/>
          </w:tcPr>
          <w:p w14:paraId="14095456" w14:textId="77777777" w:rsidR="00C72BF2" w:rsidRPr="00430059" w:rsidRDefault="00C72BF2" w:rsidP="00AE3FA7">
            <w:pPr>
              <w:spacing w:line="240" w:lineRule="auto"/>
              <w:rPr>
                <w:rFonts w:cs="Arial"/>
                <w:szCs w:val="18"/>
              </w:rPr>
            </w:pPr>
            <w:r w:rsidRPr="00430059">
              <w:rPr>
                <w:rFonts w:cs="Arial"/>
                <w:szCs w:val="18"/>
              </w:rPr>
              <w:t>5.38</w:t>
            </w:r>
          </w:p>
        </w:tc>
      </w:tr>
      <w:tr w:rsidR="00430059" w:rsidRPr="00430059" w14:paraId="66B40AE3" w14:textId="77777777" w:rsidTr="00C72BF2">
        <w:tc>
          <w:tcPr>
            <w:tcW w:w="0" w:type="auto"/>
          </w:tcPr>
          <w:p w14:paraId="08D2A4BF" w14:textId="77777777" w:rsidR="00C72BF2" w:rsidRPr="00430059" w:rsidRDefault="00C72BF2" w:rsidP="00AE3FA7">
            <w:pPr>
              <w:spacing w:line="240" w:lineRule="auto"/>
              <w:rPr>
                <w:rFonts w:cs="Arial"/>
                <w:szCs w:val="18"/>
              </w:rPr>
            </w:pPr>
            <w:r w:rsidRPr="00430059">
              <w:rPr>
                <w:rFonts w:cs="Arial"/>
                <w:szCs w:val="18"/>
              </w:rPr>
              <w:t>Nitrogen</w:t>
            </w:r>
          </w:p>
        </w:tc>
        <w:tc>
          <w:tcPr>
            <w:tcW w:w="0" w:type="auto"/>
          </w:tcPr>
          <w:p w14:paraId="1406DF5F" w14:textId="77777777" w:rsidR="00C72BF2" w:rsidRPr="00430059" w:rsidRDefault="00C72BF2" w:rsidP="00AE3FA7">
            <w:pPr>
              <w:spacing w:line="240" w:lineRule="auto"/>
              <w:rPr>
                <w:rFonts w:cs="Arial"/>
                <w:szCs w:val="18"/>
              </w:rPr>
            </w:pPr>
            <w:r w:rsidRPr="00430059">
              <w:rPr>
                <w:rFonts w:cs="Arial"/>
                <w:szCs w:val="18"/>
              </w:rPr>
              <w:t>5.57</w:t>
            </w:r>
          </w:p>
        </w:tc>
      </w:tr>
      <w:tr w:rsidR="00430059" w:rsidRPr="00430059" w14:paraId="2C25933A" w14:textId="77777777" w:rsidTr="00C72BF2">
        <w:tc>
          <w:tcPr>
            <w:tcW w:w="0" w:type="auto"/>
          </w:tcPr>
          <w:p w14:paraId="24129C54" w14:textId="77777777" w:rsidR="00C72BF2" w:rsidRPr="00430059" w:rsidRDefault="00C72BF2" w:rsidP="00AE3FA7">
            <w:pPr>
              <w:spacing w:line="240" w:lineRule="auto"/>
              <w:rPr>
                <w:rFonts w:cs="Arial"/>
                <w:szCs w:val="18"/>
              </w:rPr>
            </w:pPr>
            <w:r w:rsidRPr="00430059">
              <w:rPr>
                <w:rFonts w:cs="Arial"/>
                <w:szCs w:val="18"/>
              </w:rPr>
              <w:t>Oxygen</w:t>
            </w:r>
          </w:p>
        </w:tc>
        <w:tc>
          <w:tcPr>
            <w:tcW w:w="0" w:type="auto"/>
          </w:tcPr>
          <w:p w14:paraId="790411A3" w14:textId="77777777" w:rsidR="00C72BF2" w:rsidRPr="00430059" w:rsidRDefault="00C72BF2" w:rsidP="00AE3FA7">
            <w:pPr>
              <w:spacing w:line="240" w:lineRule="auto"/>
              <w:rPr>
                <w:rFonts w:cs="Arial"/>
                <w:szCs w:val="18"/>
              </w:rPr>
            </w:pPr>
            <w:r w:rsidRPr="00430059">
              <w:rPr>
                <w:rFonts w:cs="Arial"/>
                <w:szCs w:val="18"/>
              </w:rPr>
              <w:t>33.53</w:t>
            </w:r>
          </w:p>
        </w:tc>
      </w:tr>
      <w:tr w:rsidR="00430059" w:rsidRPr="00430059" w14:paraId="0F662E1E" w14:textId="77777777" w:rsidTr="00C72BF2">
        <w:tc>
          <w:tcPr>
            <w:tcW w:w="0" w:type="auto"/>
          </w:tcPr>
          <w:p w14:paraId="388DD909" w14:textId="77777777" w:rsidR="00C72BF2" w:rsidRPr="00430059" w:rsidRDefault="00C72BF2" w:rsidP="00AE3FA7">
            <w:pPr>
              <w:spacing w:line="240" w:lineRule="auto"/>
              <w:rPr>
                <w:rFonts w:cs="Arial"/>
                <w:szCs w:val="18"/>
              </w:rPr>
            </w:pPr>
            <w:r w:rsidRPr="00430059">
              <w:rPr>
                <w:rFonts w:cs="Arial"/>
                <w:szCs w:val="18"/>
              </w:rPr>
              <w:t>Sulphur</w:t>
            </w:r>
          </w:p>
        </w:tc>
        <w:tc>
          <w:tcPr>
            <w:tcW w:w="0" w:type="auto"/>
          </w:tcPr>
          <w:p w14:paraId="34CBF441" w14:textId="77777777" w:rsidR="00C72BF2" w:rsidRPr="00430059" w:rsidRDefault="00C72BF2" w:rsidP="00AE3FA7">
            <w:pPr>
              <w:spacing w:line="240" w:lineRule="auto"/>
              <w:rPr>
                <w:rFonts w:cs="Arial"/>
                <w:szCs w:val="18"/>
              </w:rPr>
            </w:pPr>
            <w:r w:rsidRPr="00430059">
              <w:rPr>
                <w:rFonts w:cs="Arial"/>
                <w:szCs w:val="18"/>
              </w:rPr>
              <w:t>0.10</w:t>
            </w:r>
          </w:p>
        </w:tc>
      </w:tr>
      <w:tr w:rsidR="00430059" w:rsidRPr="00430059" w14:paraId="272B40C6" w14:textId="77777777" w:rsidTr="00C72BF2">
        <w:tc>
          <w:tcPr>
            <w:tcW w:w="0" w:type="auto"/>
          </w:tcPr>
          <w:p w14:paraId="5E03F9D5" w14:textId="77777777" w:rsidR="00C72BF2" w:rsidRPr="00430059" w:rsidRDefault="00C72BF2" w:rsidP="00AE3FA7">
            <w:pPr>
              <w:spacing w:line="240" w:lineRule="auto"/>
              <w:rPr>
                <w:rFonts w:cs="Arial"/>
                <w:szCs w:val="18"/>
              </w:rPr>
            </w:pPr>
            <w:r w:rsidRPr="00430059">
              <w:rPr>
                <w:rFonts w:cs="Arial"/>
                <w:szCs w:val="18"/>
              </w:rPr>
              <w:t>Chlorine</w:t>
            </w:r>
          </w:p>
        </w:tc>
        <w:tc>
          <w:tcPr>
            <w:tcW w:w="0" w:type="auto"/>
          </w:tcPr>
          <w:p w14:paraId="59943E6A" w14:textId="77777777" w:rsidR="00C72BF2" w:rsidRPr="00430059" w:rsidRDefault="00C72BF2" w:rsidP="00AE3FA7">
            <w:pPr>
              <w:spacing w:line="240" w:lineRule="auto"/>
              <w:rPr>
                <w:rFonts w:cs="Arial"/>
                <w:szCs w:val="18"/>
              </w:rPr>
            </w:pPr>
            <w:r w:rsidRPr="00430059">
              <w:rPr>
                <w:rFonts w:cs="Arial"/>
                <w:szCs w:val="18"/>
              </w:rPr>
              <w:t>0.00</w:t>
            </w:r>
          </w:p>
        </w:tc>
      </w:tr>
      <w:tr w:rsidR="00430059" w:rsidRPr="00430059" w14:paraId="7BF37B14" w14:textId="77777777" w:rsidTr="00C72BF2">
        <w:tc>
          <w:tcPr>
            <w:tcW w:w="0" w:type="auto"/>
            <w:tcBorders>
              <w:bottom w:val="single" w:sz="6" w:space="0" w:color="008000"/>
            </w:tcBorders>
          </w:tcPr>
          <w:p w14:paraId="4160C4B8" w14:textId="77777777" w:rsidR="00C72BF2" w:rsidRPr="00430059" w:rsidRDefault="00C72BF2" w:rsidP="00AE3FA7">
            <w:pPr>
              <w:spacing w:line="240" w:lineRule="auto"/>
              <w:rPr>
                <w:rFonts w:cs="Arial"/>
                <w:szCs w:val="18"/>
              </w:rPr>
            </w:pPr>
            <w:r w:rsidRPr="00430059">
              <w:rPr>
                <w:rFonts w:cs="Arial"/>
                <w:szCs w:val="18"/>
              </w:rPr>
              <w:t>Ash</w:t>
            </w:r>
          </w:p>
        </w:tc>
        <w:tc>
          <w:tcPr>
            <w:tcW w:w="0" w:type="auto"/>
            <w:tcBorders>
              <w:bottom w:val="single" w:sz="6" w:space="0" w:color="008000"/>
            </w:tcBorders>
          </w:tcPr>
          <w:p w14:paraId="3867AA0D" w14:textId="77777777" w:rsidR="00C72BF2" w:rsidRPr="00430059" w:rsidRDefault="00C72BF2" w:rsidP="00AE3FA7">
            <w:pPr>
              <w:spacing w:line="240" w:lineRule="auto"/>
              <w:rPr>
                <w:rFonts w:cs="Arial"/>
                <w:szCs w:val="18"/>
              </w:rPr>
            </w:pPr>
            <w:r w:rsidRPr="00430059">
              <w:rPr>
                <w:rFonts w:cs="Arial"/>
                <w:szCs w:val="18"/>
              </w:rPr>
              <w:t>15.40</w:t>
            </w:r>
          </w:p>
        </w:tc>
      </w:tr>
      <w:tr w:rsidR="00430059" w:rsidRPr="00430059" w14:paraId="7083CF6F" w14:textId="77777777" w:rsidTr="00C72BF2">
        <w:tc>
          <w:tcPr>
            <w:tcW w:w="0" w:type="auto"/>
            <w:tcBorders>
              <w:top w:val="single" w:sz="6" w:space="0" w:color="008000"/>
              <w:bottom w:val="single" w:sz="6" w:space="0" w:color="008000"/>
            </w:tcBorders>
          </w:tcPr>
          <w:p w14:paraId="46C59D9C" w14:textId="3AFD737F" w:rsidR="00C72BF2" w:rsidRPr="00430059" w:rsidRDefault="002D0F6D" w:rsidP="00AE3FA7">
            <w:pPr>
              <w:spacing w:line="240" w:lineRule="auto"/>
              <w:rPr>
                <w:rFonts w:cs="Arial"/>
                <w:szCs w:val="18"/>
              </w:rPr>
            </w:pPr>
            <w:r w:rsidRPr="00430059">
              <w:rPr>
                <w:rFonts w:cs="Arial"/>
                <w:szCs w:val="18"/>
              </w:rPr>
              <w:t>LHV</w:t>
            </w:r>
          </w:p>
        </w:tc>
        <w:tc>
          <w:tcPr>
            <w:tcW w:w="0" w:type="auto"/>
            <w:tcBorders>
              <w:top w:val="single" w:sz="6" w:space="0" w:color="008000"/>
              <w:bottom w:val="single" w:sz="6" w:space="0" w:color="008000"/>
            </w:tcBorders>
          </w:tcPr>
          <w:p w14:paraId="263C4084" w14:textId="5EF37123" w:rsidR="00C72BF2" w:rsidRPr="00430059" w:rsidRDefault="002D0F6D" w:rsidP="00AE3FA7">
            <w:pPr>
              <w:spacing w:line="240" w:lineRule="auto"/>
              <w:rPr>
                <w:rFonts w:cs="Arial"/>
                <w:szCs w:val="18"/>
              </w:rPr>
            </w:pPr>
            <w:r w:rsidRPr="00430059">
              <w:rPr>
                <w:rFonts w:cs="Arial"/>
                <w:szCs w:val="18"/>
              </w:rPr>
              <w:t>14</w:t>
            </w:r>
            <w:r w:rsidR="00C72BF2" w:rsidRPr="00430059">
              <w:rPr>
                <w:rFonts w:cs="Arial"/>
                <w:szCs w:val="18"/>
              </w:rPr>
              <w:t>.</w:t>
            </w:r>
            <w:r w:rsidRPr="00430059">
              <w:rPr>
                <w:rFonts w:cs="Arial"/>
                <w:szCs w:val="18"/>
              </w:rPr>
              <w:t>89</w:t>
            </w:r>
          </w:p>
        </w:tc>
      </w:tr>
      <w:tr w:rsidR="00430059" w:rsidRPr="00430059" w14:paraId="07725AC3" w14:textId="77777777" w:rsidTr="00C72BF2">
        <w:tc>
          <w:tcPr>
            <w:tcW w:w="0" w:type="auto"/>
            <w:tcBorders>
              <w:top w:val="single" w:sz="6" w:space="0" w:color="008000"/>
              <w:bottom w:val="single" w:sz="12" w:space="0" w:color="008000"/>
            </w:tcBorders>
          </w:tcPr>
          <w:p w14:paraId="0BB9BA1B" w14:textId="77777777" w:rsidR="00C72BF2" w:rsidRPr="00430059" w:rsidRDefault="00C72BF2" w:rsidP="00AE3FA7">
            <w:pPr>
              <w:spacing w:line="240" w:lineRule="auto"/>
              <w:rPr>
                <w:rFonts w:cs="Arial"/>
                <w:szCs w:val="18"/>
              </w:rPr>
            </w:pPr>
            <w:r w:rsidRPr="00430059">
              <w:rPr>
                <w:rFonts w:cs="Arial"/>
                <w:szCs w:val="18"/>
              </w:rPr>
              <w:t>Reference</w:t>
            </w:r>
          </w:p>
        </w:tc>
        <w:tc>
          <w:tcPr>
            <w:tcW w:w="0" w:type="auto"/>
            <w:tcBorders>
              <w:top w:val="single" w:sz="6" w:space="0" w:color="008000"/>
              <w:bottom w:val="single" w:sz="12" w:space="0" w:color="008000"/>
            </w:tcBorders>
          </w:tcPr>
          <w:p w14:paraId="6F255D1F" w14:textId="13F8E9F1" w:rsidR="00C72BF2" w:rsidRPr="00430059" w:rsidRDefault="005F57BD" w:rsidP="00AE3FA7">
            <w:pPr>
              <w:spacing w:line="240" w:lineRule="auto"/>
              <w:rPr>
                <w:rFonts w:cs="Arial"/>
                <w:noProof/>
                <w:szCs w:val="18"/>
              </w:rPr>
            </w:pPr>
            <w:r w:rsidRPr="00430059">
              <w:rPr>
                <w:rFonts w:cs="Arial"/>
                <w:szCs w:val="18"/>
              </w:rPr>
              <w:fldChar w:fldCharType="begin" w:fldLock="1"/>
            </w:r>
            <w:r w:rsidR="00ED03DB" w:rsidRPr="00430059">
              <w:rPr>
                <w:rFonts w:cs="Arial"/>
                <w:szCs w:val="18"/>
              </w:rPr>
              <w:instrText>ADDIN CSL_CITATION {"citationItems":[{"id":"ITEM-1","itemData":{"DOI":"10.1016/J.WASMAN.2016.07.019","ISSN":"0956-053X","PMID":"27440220","abstract":"In this study, conversion of wastes from poultry farming and industry into biochar and bio-oil via thermochemical processes was investigated. Fuel characteristics and chemical structure of biochars and bio-oils have been investigated using standard fuel analysis and spectroscopic methods. Biochars were produced from poultry litter through both hydrothermal carbonization (sub-critical water, 175–250 °C) and pyrolysis over a temperature range between 250 and 500 °C. In comparison to hydrothermal carbonization, pyrolysis at lower temperatures produced biochar with greater energy yield due to the higher mass yield. Biochars obtained by both processes were comparable to coal. Hydrothermal liquefaction of poultry meal at different temperatures (200–325 °C) was conducted and compared to optimize its process conditions. Higher temperatures favored the formation of bio-crude oil, with a maximum yield of 35 wt.% at 300 °C. The higher heating values of bio-oils showed that bio-oil could be a potential source of synthetic fuels. However, elemental analysis demonstrated the high nitrogen content of bio-oils. Therefore, bio-oils obtained from hydrothermal liquefaction of poultry meal should be upgraded for utilization as a transport and heating fuel.","author":[{"dropping-particle":"","family":"Kantarli","given":"Ismail Cem","non-dropping-particle":"","parse-names":false,"suffix":""},{"dropping-particle":"","family":"Kabadayi","given":"Arzu","non-dropping-particle":"","parse-names":false,"suffix":""},{"dropping-particle":"","family":"Ucar","given":"Suat","non-dropping-particle":"","parse-names":false,"suffix":""},{"dropping-particle":"","family":"Yanik","given":"Jale","non-dropping-particle":"","parse-names":false,"suffix":""}],"container-title":"Waste Management","id":"ITEM-1","issued":{"date-parts":[["2016","10","1"]]},"page":"530-539","publisher":"Pergamon","title":"Conversion of poultry wastes into energy feedstocks","type":"article-journal","volume":"56"},"uris":["http://www.mendeley.com/documents/?uuid=17fbcfc4-e4b0-3454-a5b8-5ae7c55746bc"]}],"mendeley":{"formattedCitation":"(Kantarli et al., 2016)","plainTextFormattedCitation":"(Kantarli et al., 2016)","previouslyFormattedCitation":"(Kantarli et al., 2016)"},"properties":{"noteIndex":0},"schema":"https://github.com/citation-style-language/schema/raw/master/csl-citation.json"}</w:instrText>
            </w:r>
            <w:r w:rsidRPr="00430059">
              <w:rPr>
                <w:rFonts w:cs="Arial"/>
                <w:szCs w:val="18"/>
              </w:rPr>
              <w:fldChar w:fldCharType="separate"/>
            </w:r>
            <w:r w:rsidR="00ED03DB" w:rsidRPr="00430059">
              <w:rPr>
                <w:rFonts w:cs="Arial"/>
                <w:noProof/>
                <w:szCs w:val="18"/>
              </w:rPr>
              <w:t>(Kantarli et al., 2016)</w:t>
            </w:r>
            <w:r w:rsidRPr="00430059">
              <w:rPr>
                <w:rFonts w:cs="Arial"/>
                <w:szCs w:val="18"/>
              </w:rPr>
              <w:fldChar w:fldCharType="end"/>
            </w:r>
          </w:p>
        </w:tc>
      </w:tr>
    </w:tbl>
    <w:p w14:paraId="3CFF7D65" w14:textId="0F12A2F7" w:rsidR="00C72BF2" w:rsidRPr="00430059" w:rsidRDefault="00C72BF2" w:rsidP="00AE3FA7">
      <w:pPr>
        <w:spacing w:before="120"/>
        <w:ind w:firstLine="720"/>
      </w:pPr>
      <w:r w:rsidRPr="00430059">
        <w:t>A high volatile composition (60</w:t>
      </w:r>
      <w:r w:rsidR="00EE0B89" w:rsidRPr="00430059">
        <w:t xml:space="preserve"> %</w:t>
      </w:r>
      <w:r w:rsidRPr="00430059">
        <w:t>) and a moderate fixed carbon composition (16</w:t>
      </w:r>
      <w:r w:rsidR="00EE0B89" w:rsidRPr="00430059">
        <w:t xml:space="preserve"> %</w:t>
      </w:r>
      <w:r w:rsidRPr="00430059">
        <w:t>) implies that the litter can serve as a good fuel as such. However, it has a high ash content (15</w:t>
      </w:r>
      <w:r w:rsidR="00EE0B89" w:rsidRPr="00430059">
        <w:t xml:space="preserve"> %</w:t>
      </w:r>
      <w:r w:rsidRPr="00430059">
        <w:t xml:space="preserve">) which may reduce the energy content of the manure. High ash content is also expected to cause ash handling issues as slagging, corrosion, </w:t>
      </w:r>
      <w:r w:rsidRPr="00430059">
        <w:rPr>
          <w:i/>
          <w:iCs/>
          <w:szCs w:val="18"/>
        </w:rPr>
        <w:t>etc</w:t>
      </w:r>
      <w:r w:rsidRPr="00430059">
        <w:rPr>
          <w:szCs w:val="18"/>
        </w:rPr>
        <w:t>. The manure possesses a moderate elemental carbon content (40</w:t>
      </w:r>
      <w:r w:rsidR="00EE0B89" w:rsidRPr="00430059">
        <w:rPr>
          <w:szCs w:val="18"/>
        </w:rPr>
        <w:t xml:space="preserve"> %</w:t>
      </w:r>
      <w:r w:rsidRPr="00430059">
        <w:rPr>
          <w:szCs w:val="18"/>
        </w:rPr>
        <w:t>) which also confirms its suitability as a fuel. The bothering aspect of the manure is its nitrogen content (6</w:t>
      </w:r>
      <w:r w:rsidR="00EE0B89" w:rsidRPr="00430059">
        <w:rPr>
          <w:szCs w:val="18"/>
        </w:rPr>
        <w:t xml:space="preserve"> %</w:t>
      </w:r>
      <w:r w:rsidRPr="00430059">
        <w:rPr>
          <w:szCs w:val="18"/>
        </w:rPr>
        <w:t>), which may lead to the emissions of NOx and NH</w:t>
      </w:r>
      <w:r w:rsidRPr="00430059">
        <w:rPr>
          <w:szCs w:val="18"/>
          <w:vertAlign w:val="subscript"/>
        </w:rPr>
        <w:t>X</w:t>
      </w:r>
      <w:r w:rsidR="002143FD" w:rsidRPr="00430059">
        <w:rPr>
          <w:szCs w:val="18"/>
        </w:rPr>
        <w:t>.</w:t>
      </w:r>
    </w:p>
    <w:p w14:paraId="756E2745" w14:textId="77777777" w:rsidR="00C72BF2" w:rsidRPr="00430059" w:rsidRDefault="00C72BF2" w:rsidP="003520AC">
      <w:pPr>
        <w:spacing w:before="120"/>
        <w:jc w:val="left"/>
        <w:rPr>
          <w:rFonts w:cs="Arial"/>
          <w:sz w:val="24"/>
          <w:szCs w:val="24"/>
        </w:rPr>
      </w:pPr>
      <w:r w:rsidRPr="00430059">
        <w:rPr>
          <w:rFonts w:cs="Arial"/>
          <w:noProof/>
          <w:sz w:val="24"/>
          <w:szCs w:val="24"/>
          <w14:ligatures w14:val="standardContextual"/>
        </w:rPr>
        <w:drawing>
          <wp:inline distT="0" distB="0" distL="0" distR="0" wp14:anchorId="061D0157" wp14:editId="20B27362">
            <wp:extent cx="4572000" cy="1644650"/>
            <wp:effectExtent l="0" t="0" r="0" b="0"/>
            <wp:docPr id="648015608" name="Chart 1">
              <a:extLst xmlns:a="http://schemas.openxmlformats.org/drawingml/2006/main">
                <a:ext uri="{FF2B5EF4-FFF2-40B4-BE49-F238E27FC236}">
                  <a16:creationId xmlns:a16="http://schemas.microsoft.com/office/drawing/2014/main" id="{D15238DD-33F9-34C2-5F88-7DC0D2CB8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E57097" w14:textId="77777777" w:rsidR="00C72BF2" w:rsidRPr="00430059" w:rsidRDefault="00C72BF2" w:rsidP="00AE3FA7">
      <w:pPr>
        <w:spacing w:before="120"/>
        <w:rPr>
          <w:rFonts w:cs="Arial"/>
          <w:sz w:val="24"/>
          <w:szCs w:val="24"/>
        </w:rPr>
      </w:pPr>
      <w:r w:rsidRPr="00430059">
        <w:rPr>
          <w:rStyle w:val="CETCaptionCarattere"/>
        </w:rPr>
        <w:t>Figure 2.</w:t>
      </w:r>
      <w:r w:rsidRPr="00430059">
        <w:rPr>
          <w:rFonts w:cs="Arial"/>
          <w:sz w:val="24"/>
          <w:szCs w:val="24"/>
          <w:lang w:val="en-US"/>
        </w:rPr>
        <w:t xml:space="preserve"> </w:t>
      </w:r>
      <w:r w:rsidRPr="00430059">
        <w:rPr>
          <w:rStyle w:val="CETCaptionCarattere"/>
        </w:rPr>
        <w:t>Effect of pyrolysis temperature (250</w:t>
      </w:r>
      <w:r w:rsidRPr="00430059">
        <w:rPr>
          <w:rStyle w:val="CETCaptionCarattere"/>
        </w:rPr>
        <w:sym w:font="Symbol" w:char="F0B0"/>
      </w:r>
      <w:r w:rsidRPr="00430059">
        <w:rPr>
          <w:rStyle w:val="CETCaptionCarattere"/>
        </w:rPr>
        <w:t>C and 500</w:t>
      </w:r>
      <w:r w:rsidRPr="00430059">
        <w:rPr>
          <w:rStyle w:val="CETCaptionCarattere"/>
        </w:rPr>
        <w:sym w:font="Symbol" w:char="F0B0"/>
      </w:r>
      <w:r w:rsidRPr="00430059">
        <w:rPr>
          <w:rStyle w:val="CETCaptionCarattere"/>
        </w:rPr>
        <w:t>C) on the yields of biochar, bio-oil, and syngas.</w:t>
      </w:r>
    </w:p>
    <w:p w14:paraId="2B296CF0" w14:textId="42548D9B" w:rsidR="00C72BF2" w:rsidRPr="00430059" w:rsidRDefault="00C72BF2" w:rsidP="00AE3FA7">
      <w:pPr>
        <w:spacing w:before="120"/>
      </w:pPr>
      <w:r w:rsidRPr="00430059">
        <w:t>The effect of pyrolysis temperature (250 and 500</w:t>
      </w:r>
      <w:r w:rsidR="00EE0B89" w:rsidRPr="00430059">
        <w:t xml:space="preserve"> °C</w:t>
      </w:r>
      <w:r w:rsidRPr="00430059">
        <w:t>) on the yields of biochar, syngas, and bio-oil is illustrated in Figure 2. As the temperature increased from 250 to 500</w:t>
      </w:r>
      <w:r w:rsidR="00EE0B89" w:rsidRPr="00430059">
        <w:t xml:space="preserve"> °C</w:t>
      </w:r>
      <w:r w:rsidRPr="00430059">
        <w:t xml:space="preserve">, the production of biochar reduced. The rise in temperature resulted in higher yields of bio-oil and syngas. The reduction in biochar production is a result of carbon reacting with other elements to form volatile hydrocarbons. The enhanced production of bio-oil and </w:t>
      </w:r>
      <w:r w:rsidRPr="00430059">
        <w:rPr>
          <w:szCs w:val="18"/>
        </w:rPr>
        <w:t xml:space="preserve">syngas is due to the breakdown of C-H and of C=H, resulting in the formation of more volatile substances. The </w:t>
      </w:r>
      <w:r w:rsidRPr="00430059">
        <w:rPr>
          <w:szCs w:val="18"/>
        </w:rPr>
        <w:lastRenderedPageBreak/>
        <w:t>interaction between carbon, hydrogen, and oxygen also plays a role in increasing the production of bio-oil and syngas.</w:t>
      </w:r>
    </w:p>
    <w:p w14:paraId="7E65F82F" w14:textId="318E0CEB" w:rsidR="00C72BF2" w:rsidRPr="00430059" w:rsidRDefault="00C72BF2" w:rsidP="00AE3FA7">
      <w:pPr>
        <w:pStyle w:val="CETTabletitle"/>
        <w:jc w:val="both"/>
        <w:rPr>
          <w:i w:val="0"/>
        </w:rPr>
      </w:pPr>
      <w:r w:rsidRPr="00430059">
        <w:rPr>
          <w:i w:val="0"/>
        </w:rPr>
        <w:t>An in-depth economic analysis was carried out to assess the revenue possibilities of biochar production in Qatar. The estimated economics parameter values attained for the two pyrolysis processes (250</w:t>
      </w:r>
      <w:r w:rsidR="00EE0B89" w:rsidRPr="00430059">
        <w:rPr>
          <w:i w:val="0"/>
        </w:rPr>
        <w:t xml:space="preserve"> °C</w:t>
      </w:r>
      <w:r w:rsidRPr="00430059">
        <w:rPr>
          <w:i w:val="0"/>
        </w:rPr>
        <w:t xml:space="preserve"> and 500</w:t>
      </w:r>
      <w:r w:rsidR="00EE0B89" w:rsidRPr="00430059">
        <w:rPr>
          <w:i w:val="0"/>
        </w:rPr>
        <w:t xml:space="preserve"> °C</w:t>
      </w:r>
      <w:r w:rsidRPr="00430059">
        <w:rPr>
          <w:i w:val="0"/>
        </w:rPr>
        <w:t>) are provided in Table 3.</w:t>
      </w:r>
    </w:p>
    <w:p w14:paraId="720185CE" w14:textId="77777777" w:rsidR="00C72BF2" w:rsidRPr="00430059" w:rsidRDefault="00C72BF2" w:rsidP="00AE3FA7">
      <w:pPr>
        <w:adjustRightInd w:val="0"/>
        <w:spacing w:before="120"/>
        <w:ind w:firstLine="86"/>
        <w:rPr>
          <w:rFonts w:cs="Arial"/>
          <w:szCs w:val="18"/>
        </w:rPr>
      </w:pPr>
      <w:r w:rsidRPr="00430059">
        <w:rPr>
          <w:i/>
        </w:rPr>
        <w:t>Table 3.</w:t>
      </w:r>
      <w:r w:rsidRPr="00430059">
        <w:rPr>
          <w:rFonts w:cs="Arial"/>
          <w:szCs w:val="18"/>
        </w:rPr>
        <w:t xml:space="preserve"> </w:t>
      </w:r>
      <w:r w:rsidRPr="00430059">
        <w:rPr>
          <w:i/>
        </w:rPr>
        <w:t>Economic parameters for pyrolysis plants operated at 250˚C and 500˚C.</w:t>
      </w:r>
    </w:p>
    <w:tbl>
      <w:tblPr>
        <w:tblW w:w="8995" w:type="dxa"/>
        <w:tblLayout w:type="fixed"/>
        <w:tblLook w:val="04A0" w:firstRow="1" w:lastRow="0" w:firstColumn="1" w:lastColumn="0" w:noHBand="0" w:noVBand="1"/>
      </w:tblPr>
      <w:tblGrid>
        <w:gridCol w:w="805"/>
        <w:gridCol w:w="1080"/>
        <w:gridCol w:w="990"/>
        <w:gridCol w:w="990"/>
        <w:gridCol w:w="1080"/>
        <w:gridCol w:w="1080"/>
        <w:gridCol w:w="720"/>
        <w:gridCol w:w="1170"/>
        <w:gridCol w:w="1080"/>
      </w:tblGrid>
      <w:tr w:rsidR="00430059" w:rsidRPr="00430059" w14:paraId="6FEC67E9" w14:textId="77777777" w:rsidTr="00BD2018">
        <w:trPr>
          <w:trHeight w:val="288"/>
        </w:trPr>
        <w:tc>
          <w:tcPr>
            <w:tcW w:w="805" w:type="dxa"/>
            <w:tcBorders>
              <w:top w:val="single" w:sz="12" w:space="0" w:color="008000"/>
              <w:bottom w:val="single" w:sz="6" w:space="0" w:color="008000"/>
            </w:tcBorders>
            <w:shd w:val="clear" w:color="auto" w:fill="auto"/>
            <w:noWrap/>
            <w:vAlign w:val="bottom"/>
            <w:hideMark/>
          </w:tcPr>
          <w:p w14:paraId="3F7722C7" w14:textId="10CD14AD" w:rsidR="00C72BF2" w:rsidRPr="00430059" w:rsidRDefault="00C72BF2" w:rsidP="00AE3FA7">
            <w:pPr>
              <w:spacing w:line="240" w:lineRule="auto"/>
              <w:rPr>
                <w:rFonts w:cs="Arial"/>
                <w:szCs w:val="18"/>
                <w:lang w:eastAsia="en-GB"/>
              </w:rPr>
            </w:pPr>
            <w:r w:rsidRPr="00430059">
              <w:rPr>
                <w:rFonts w:cs="Arial"/>
                <w:szCs w:val="18"/>
                <w:lang w:eastAsia="en-GB"/>
              </w:rPr>
              <w:t>Temp. (</w:t>
            </w:r>
            <w:r w:rsidR="00EE0B89" w:rsidRPr="00430059">
              <w:rPr>
                <w:rFonts w:cs="Arial"/>
                <w:szCs w:val="18"/>
                <w:lang w:eastAsia="en-GB"/>
              </w:rPr>
              <w:t>°C</w:t>
            </w:r>
            <w:r w:rsidRPr="00430059">
              <w:rPr>
                <w:rFonts w:cs="Arial"/>
                <w:szCs w:val="18"/>
                <w:lang w:eastAsia="en-GB"/>
              </w:rPr>
              <w:t>)</w:t>
            </w:r>
          </w:p>
        </w:tc>
        <w:tc>
          <w:tcPr>
            <w:tcW w:w="1080" w:type="dxa"/>
            <w:tcBorders>
              <w:top w:val="single" w:sz="12" w:space="0" w:color="008000"/>
              <w:bottom w:val="single" w:sz="6" w:space="0" w:color="008000"/>
            </w:tcBorders>
            <w:shd w:val="clear" w:color="auto" w:fill="auto"/>
            <w:noWrap/>
            <w:vAlign w:val="bottom"/>
            <w:hideMark/>
          </w:tcPr>
          <w:p w14:paraId="587DF858" w14:textId="10FC584F" w:rsidR="00C72BF2" w:rsidRPr="00430059" w:rsidRDefault="00C72BF2" w:rsidP="00AE3FA7">
            <w:pPr>
              <w:spacing w:line="240" w:lineRule="auto"/>
              <w:rPr>
                <w:rFonts w:cs="Arial"/>
                <w:szCs w:val="18"/>
                <w:lang w:eastAsia="en-GB"/>
              </w:rPr>
            </w:pPr>
            <w:r w:rsidRPr="00430059">
              <w:rPr>
                <w:rFonts w:cs="Arial"/>
                <w:szCs w:val="18"/>
              </w:rPr>
              <w:t>CAPEX</w:t>
            </w:r>
            <w:r w:rsidRPr="00430059">
              <w:rPr>
                <w:rFonts w:cs="Arial"/>
                <w:szCs w:val="18"/>
                <w:lang w:eastAsia="en-GB"/>
              </w:rPr>
              <w:t xml:space="preserve"> (</w:t>
            </w:r>
            <w:r w:rsidR="00975CF1" w:rsidRPr="00430059">
              <w:t>10</w:t>
            </w:r>
            <w:r w:rsidR="00975CF1" w:rsidRPr="00430059">
              <w:rPr>
                <w:vertAlign w:val="superscript"/>
              </w:rPr>
              <w:t>6</w:t>
            </w:r>
            <w:r w:rsidR="00975CF1" w:rsidRPr="00430059">
              <w:rPr>
                <w:vertAlign w:val="superscript"/>
              </w:rPr>
              <w:t xml:space="preserve"> </w:t>
            </w:r>
            <w:r w:rsidRPr="00430059">
              <w:rPr>
                <w:rFonts w:cs="Arial"/>
                <w:szCs w:val="18"/>
                <w:lang w:eastAsia="en-GB"/>
              </w:rPr>
              <w:t>USD)</w:t>
            </w:r>
          </w:p>
        </w:tc>
        <w:tc>
          <w:tcPr>
            <w:tcW w:w="990" w:type="dxa"/>
            <w:tcBorders>
              <w:top w:val="single" w:sz="12" w:space="0" w:color="008000"/>
              <w:bottom w:val="single" w:sz="6" w:space="0" w:color="008000"/>
            </w:tcBorders>
            <w:shd w:val="clear" w:color="auto" w:fill="auto"/>
            <w:noWrap/>
            <w:vAlign w:val="bottom"/>
            <w:hideMark/>
          </w:tcPr>
          <w:p w14:paraId="73AD2FD1" w14:textId="611A3AF6" w:rsidR="00C72BF2" w:rsidRPr="00430059" w:rsidRDefault="00C72BF2" w:rsidP="00AE3FA7">
            <w:pPr>
              <w:spacing w:line="240" w:lineRule="auto"/>
              <w:rPr>
                <w:rFonts w:cs="Arial"/>
                <w:szCs w:val="18"/>
                <w:lang w:eastAsia="en-GB"/>
              </w:rPr>
            </w:pPr>
            <w:r w:rsidRPr="00430059">
              <w:rPr>
                <w:rFonts w:cs="Arial"/>
                <w:szCs w:val="18"/>
              </w:rPr>
              <w:t>OPEX</w:t>
            </w:r>
            <w:r w:rsidRPr="00430059">
              <w:rPr>
                <w:rFonts w:cs="Arial"/>
                <w:szCs w:val="18"/>
                <w:lang w:eastAsia="en-GB"/>
              </w:rPr>
              <w:t xml:space="preserve"> (</w:t>
            </w:r>
            <w:r w:rsidR="00975CF1" w:rsidRPr="00430059">
              <w:t>10</w:t>
            </w:r>
            <w:r w:rsidR="00975CF1" w:rsidRPr="00430059">
              <w:rPr>
                <w:vertAlign w:val="superscript"/>
              </w:rPr>
              <w:t>6</w:t>
            </w:r>
            <w:r w:rsidRPr="00430059">
              <w:rPr>
                <w:rFonts w:cs="Arial"/>
                <w:szCs w:val="18"/>
                <w:lang w:eastAsia="en-GB"/>
              </w:rPr>
              <w:t xml:space="preserve"> USD/y)</w:t>
            </w:r>
          </w:p>
        </w:tc>
        <w:tc>
          <w:tcPr>
            <w:tcW w:w="990" w:type="dxa"/>
            <w:tcBorders>
              <w:top w:val="single" w:sz="12" w:space="0" w:color="008000"/>
              <w:bottom w:val="single" w:sz="6" w:space="0" w:color="008000"/>
            </w:tcBorders>
            <w:shd w:val="clear" w:color="auto" w:fill="auto"/>
            <w:noWrap/>
            <w:vAlign w:val="bottom"/>
            <w:hideMark/>
          </w:tcPr>
          <w:p w14:paraId="56105BB0" w14:textId="649188FC" w:rsidR="00C72BF2" w:rsidRPr="00430059" w:rsidRDefault="00C72BF2" w:rsidP="00AE3FA7">
            <w:pPr>
              <w:spacing w:line="240" w:lineRule="auto"/>
              <w:rPr>
                <w:rFonts w:cs="Arial"/>
                <w:szCs w:val="18"/>
                <w:lang w:eastAsia="en-GB"/>
              </w:rPr>
            </w:pPr>
            <w:r w:rsidRPr="00430059">
              <w:rPr>
                <w:rFonts w:cs="Arial"/>
                <w:szCs w:val="18"/>
                <w:lang w:eastAsia="en-GB"/>
              </w:rPr>
              <w:t>Sales (</w:t>
            </w:r>
            <w:r w:rsidR="00975CF1" w:rsidRPr="00430059">
              <w:t>10</w:t>
            </w:r>
            <w:r w:rsidR="00975CF1" w:rsidRPr="00430059">
              <w:rPr>
                <w:vertAlign w:val="superscript"/>
              </w:rPr>
              <w:t>6</w:t>
            </w:r>
            <w:r w:rsidRPr="00430059">
              <w:rPr>
                <w:rFonts w:cs="Arial"/>
                <w:szCs w:val="18"/>
                <w:lang w:eastAsia="en-GB"/>
              </w:rPr>
              <w:t xml:space="preserve"> USD/y)</w:t>
            </w:r>
          </w:p>
        </w:tc>
        <w:tc>
          <w:tcPr>
            <w:tcW w:w="1080" w:type="dxa"/>
            <w:tcBorders>
              <w:top w:val="single" w:sz="12" w:space="0" w:color="008000"/>
              <w:bottom w:val="single" w:sz="6" w:space="0" w:color="008000"/>
            </w:tcBorders>
            <w:shd w:val="clear" w:color="auto" w:fill="auto"/>
            <w:noWrap/>
            <w:vAlign w:val="bottom"/>
            <w:hideMark/>
          </w:tcPr>
          <w:p w14:paraId="4C9A4508" w14:textId="3C75C178" w:rsidR="00C72BF2" w:rsidRPr="00430059" w:rsidRDefault="00C72BF2" w:rsidP="00AE3FA7">
            <w:pPr>
              <w:spacing w:line="240" w:lineRule="auto"/>
              <w:rPr>
                <w:rFonts w:cs="Arial"/>
                <w:szCs w:val="18"/>
                <w:lang w:eastAsia="en-GB"/>
              </w:rPr>
            </w:pPr>
            <w:r w:rsidRPr="00430059">
              <w:rPr>
                <w:rFonts w:cs="Arial"/>
                <w:szCs w:val="18"/>
                <w:lang w:eastAsia="en-GB"/>
              </w:rPr>
              <w:t>Profit (</w:t>
            </w:r>
            <w:r w:rsidR="00975CF1" w:rsidRPr="00430059">
              <w:t>10</w:t>
            </w:r>
            <w:r w:rsidR="00975CF1" w:rsidRPr="00430059">
              <w:rPr>
                <w:vertAlign w:val="superscript"/>
              </w:rPr>
              <w:t>6</w:t>
            </w:r>
            <w:r w:rsidRPr="00430059">
              <w:rPr>
                <w:rFonts w:cs="Arial"/>
                <w:szCs w:val="18"/>
                <w:lang w:eastAsia="en-GB"/>
              </w:rPr>
              <w:t xml:space="preserve"> USD/y)</w:t>
            </w:r>
          </w:p>
        </w:tc>
        <w:tc>
          <w:tcPr>
            <w:tcW w:w="1080" w:type="dxa"/>
            <w:tcBorders>
              <w:top w:val="single" w:sz="12" w:space="0" w:color="008000"/>
              <w:bottom w:val="single" w:sz="6" w:space="0" w:color="008000"/>
            </w:tcBorders>
            <w:shd w:val="clear" w:color="auto" w:fill="auto"/>
            <w:noWrap/>
            <w:vAlign w:val="bottom"/>
            <w:hideMark/>
          </w:tcPr>
          <w:p w14:paraId="5557126E" w14:textId="64176533" w:rsidR="00C72BF2" w:rsidRPr="00430059" w:rsidRDefault="00C72BF2" w:rsidP="00AE3FA7">
            <w:pPr>
              <w:spacing w:line="240" w:lineRule="auto"/>
              <w:rPr>
                <w:rFonts w:cs="Arial"/>
                <w:szCs w:val="18"/>
                <w:lang w:eastAsia="en-GB"/>
              </w:rPr>
            </w:pPr>
            <w:r w:rsidRPr="00430059">
              <w:rPr>
                <w:rFonts w:cs="Arial"/>
                <w:szCs w:val="18"/>
                <w:lang w:eastAsia="en-GB"/>
              </w:rPr>
              <w:t>NPV (</w:t>
            </w:r>
            <w:r w:rsidR="00975CF1" w:rsidRPr="00430059">
              <w:t>10</w:t>
            </w:r>
            <w:r w:rsidR="00975CF1" w:rsidRPr="00430059">
              <w:rPr>
                <w:vertAlign w:val="superscript"/>
              </w:rPr>
              <w:t>6</w:t>
            </w:r>
            <w:r w:rsidRPr="00430059">
              <w:rPr>
                <w:rFonts w:cs="Arial"/>
                <w:szCs w:val="18"/>
                <w:lang w:eastAsia="en-GB"/>
              </w:rPr>
              <w:t xml:space="preserve"> USD)</w:t>
            </w:r>
          </w:p>
        </w:tc>
        <w:tc>
          <w:tcPr>
            <w:tcW w:w="720" w:type="dxa"/>
            <w:tcBorders>
              <w:top w:val="single" w:sz="12" w:space="0" w:color="008000"/>
              <w:bottom w:val="single" w:sz="6" w:space="0" w:color="008000"/>
            </w:tcBorders>
            <w:shd w:val="clear" w:color="auto" w:fill="auto"/>
            <w:noWrap/>
            <w:vAlign w:val="bottom"/>
            <w:hideMark/>
          </w:tcPr>
          <w:p w14:paraId="086AED97" w14:textId="269EEA3F" w:rsidR="00C72BF2" w:rsidRPr="00430059" w:rsidRDefault="00C72BF2" w:rsidP="00AE3FA7">
            <w:pPr>
              <w:spacing w:line="240" w:lineRule="auto"/>
              <w:rPr>
                <w:rFonts w:cs="Arial"/>
                <w:szCs w:val="18"/>
                <w:lang w:eastAsia="en-GB"/>
              </w:rPr>
            </w:pPr>
            <w:r w:rsidRPr="00430059">
              <w:rPr>
                <w:rFonts w:cs="Arial"/>
                <w:szCs w:val="18"/>
                <w:lang w:eastAsia="en-GB"/>
              </w:rPr>
              <w:t>ROI (</w:t>
            </w:r>
            <w:r w:rsidR="00EE0B89" w:rsidRPr="00430059">
              <w:rPr>
                <w:rFonts w:cs="Arial"/>
                <w:szCs w:val="18"/>
                <w:lang w:eastAsia="en-GB"/>
              </w:rPr>
              <w:t>%</w:t>
            </w:r>
            <w:r w:rsidRPr="00430059">
              <w:rPr>
                <w:rFonts w:cs="Arial"/>
                <w:szCs w:val="18"/>
                <w:lang w:eastAsia="en-GB"/>
              </w:rPr>
              <w:t>/y)</w:t>
            </w:r>
          </w:p>
        </w:tc>
        <w:tc>
          <w:tcPr>
            <w:tcW w:w="1170" w:type="dxa"/>
            <w:tcBorders>
              <w:top w:val="single" w:sz="12" w:space="0" w:color="008000"/>
              <w:bottom w:val="single" w:sz="6" w:space="0" w:color="008000"/>
            </w:tcBorders>
            <w:shd w:val="clear" w:color="auto" w:fill="auto"/>
            <w:noWrap/>
            <w:vAlign w:val="bottom"/>
            <w:hideMark/>
          </w:tcPr>
          <w:p w14:paraId="0929755A" w14:textId="77777777" w:rsidR="00C72BF2" w:rsidRPr="00430059" w:rsidRDefault="00C72BF2" w:rsidP="00AE3FA7">
            <w:pPr>
              <w:spacing w:line="240" w:lineRule="auto"/>
              <w:rPr>
                <w:rFonts w:cs="Arial"/>
                <w:szCs w:val="18"/>
                <w:lang w:eastAsia="en-GB"/>
              </w:rPr>
            </w:pPr>
            <w:r w:rsidRPr="00430059">
              <w:rPr>
                <w:rFonts w:cs="Arial"/>
                <w:szCs w:val="18"/>
                <w:lang w:eastAsia="en-GB"/>
              </w:rPr>
              <w:t>Payback period (y)</w:t>
            </w:r>
          </w:p>
        </w:tc>
        <w:tc>
          <w:tcPr>
            <w:tcW w:w="1080" w:type="dxa"/>
            <w:tcBorders>
              <w:top w:val="single" w:sz="12" w:space="0" w:color="008000"/>
              <w:bottom w:val="single" w:sz="6" w:space="0" w:color="008000"/>
            </w:tcBorders>
            <w:shd w:val="clear" w:color="auto" w:fill="auto"/>
            <w:noWrap/>
            <w:vAlign w:val="bottom"/>
            <w:hideMark/>
          </w:tcPr>
          <w:p w14:paraId="1687B9B7" w14:textId="5D868EDB" w:rsidR="00C72BF2" w:rsidRPr="00430059" w:rsidRDefault="00C72BF2" w:rsidP="00AE3FA7">
            <w:pPr>
              <w:spacing w:line="240" w:lineRule="auto"/>
              <w:rPr>
                <w:rFonts w:cs="Arial"/>
                <w:szCs w:val="18"/>
                <w:lang w:eastAsia="en-GB"/>
              </w:rPr>
            </w:pPr>
            <w:r w:rsidRPr="00430059">
              <w:rPr>
                <w:rFonts w:cs="Arial"/>
                <w:szCs w:val="18"/>
                <w:lang w:eastAsia="en-GB"/>
              </w:rPr>
              <w:t>Biochar MSP</w:t>
            </w:r>
            <w:r w:rsidR="008F2D38" w:rsidRPr="00430059">
              <w:rPr>
                <w:rFonts w:cs="Arial"/>
                <w:szCs w:val="18"/>
                <w:lang w:eastAsia="en-GB"/>
              </w:rPr>
              <w:t xml:space="preserve"> (USD/kg)</w:t>
            </w:r>
          </w:p>
        </w:tc>
      </w:tr>
      <w:tr w:rsidR="00430059" w:rsidRPr="00430059" w14:paraId="4C30D1A8" w14:textId="77777777" w:rsidTr="00BD2018">
        <w:trPr>
          <w:trHeight w:val="288"/>
        </w:trPr>
        <w:tc>
          <w:tcPr>
            <w:tcW w:w="805" w:type="dxa"/>
            <w:tcBorders>
              <w:top w:val="single" w:sz="6" w:space="0" w:color="008000"/>
            </w:tcBorders>
            <w:shd w:val="clear" w:color="auto" w:fill="auto"/>
            <w:noWrap/>
            <w:vAlign w:val="bottom"/>
            <w:hideMark/>
          </w:tcPr>
          <w:p w14:paraId="5B5B4BF4" w14:textId="77777777" w:rsidR="00C72BF2" w:rsidRPr="00430059" w:rsidRDefault="00C72BF2" w:rsidP="00AE3FA7">
            <w:pPr>
              <w:spacing w:line="240" w:lineRule="auto"/>
              <w:rPr>
                <w:rFonts w:cs="Arial"/>
                <w:szCs w:val="18"/>
                <w:lang w:eastAsia="en-GB"/>
              </w:rPr>
            </w:pPr>
            <w:r w:rsidRPr="00430059">
              <w:rPr>
                <w:rFonts w:cs="Arial"/>
                <w:szCs w:val="18"/>
                <w:lang w:eastAsia="en-GB"/>
              </w:rPr>
              <w:t>250</w:t>
            </w:r>
          </w:p>
        </w:tc>
        <w:tc>
          <w:tcPr>
            <w:tcW w:w="1080" w:type="dxa"/>
            <w:tcBorders>
              <w:top w:val="single" w:sz="6" w:space="0" w:color="008000"/>
            </w:tcBorders>
            <w:shd w:val="clear" w:color="auto" w:fill="auto"/>
            <w:noWrap/>
            <w:vAlign w:val="bottom"/>
            <w:hideMark/>
          </w:tcPr>
          <w:p w14:paraId="587DC8A6" w14:textId="77777777" w:rsidR="00C72BF2" w:rsidRPr="00430059" w:rsidRDefault="00C72BF2" w:rsidP="00AE3FA7">
            <w:pPr>
              <w:spacing w:line="240" w:lineRule="auto"/>
              <w:rPr>
                <w:rFonts w:cs="Arial"/>
                <w:szCs w:val="18"/>
                <w:lang w:eastAsia="en-GB"/>
              </w:rPr>
            </w:pPr>
            <w:r w:rsidRPr="00430059">
              <w:rPr>
                <w:rFonts w:cs="Arial"/>
                <w:szCs w:val="18"/>
                <w:lang w:eastAsia="en-GB"/>
              </w:rPr>
              <w:t>164.44</w:t>
            </w:r>
          </w:p>
        </w:tc>
        <w:tc>
          <w:tcPr>
            <w:tcW w:w="990" w:type="dxa"/>
            <w:tcBorders>
              <w:top w:val="single" w:sz="6" w:space="0" w:color="008000"/>
            </w:tcBorders>
            <w:shd w:val="clear" w:color="auto" w:fill="auto"/>
            <w:noWrap/>
            <w:vAlign w:val="bottom"/>
            <w:hideMark/>
          </w:tcPr>
          <w:p w14:paraId="6C876F8E" w14:textId="77777777" w:rsidR="00C72BF2" w:rsidRPr="00430059" w:rsidRDefault="00C72BF2" w:rsidP="00AE3FA7">
            <w:pPr>
              <w:spacing w:line="240" w:lineRule="auto"/>
              <w:rPr>
                <w:rFonts w:cs="Arial"/>
                <w:szCs w:val="18"/>
                <w:lang w:eastAsia="en-GB"/>
              </w:rPr>
            </w:pPr>
            <w:r w:rsidRPr="00430059">
              <w:rPr>
                <w:rFonts w:cs="Arial"/>
                <w:szCs w:val="18"/>
                <w:lang w:eastAsia="en-GB"/>
              </w:rPr>
              <w:t>37.07</w:t>
            </w:r>
          </w:p>
        </w:tc>
        <w:tc>
          <w:tcPr>
            <w:tcW w:w="990" w:type="dxa"/>
            <w:tcBorders>
              <w:top w:val="single" w:sz="6" w:space="0" w:color="008000"/>
            </w:tcBorders>
            <w:shd w:val="clear" w:color="auto" w:fill="auto"/>
            <w:noWrap/>
            <w:vAlign w:val="bottom"/>
            <w:hideMark/>
          </w:tcPr>
          <w:p w14:paraId="22CF7FF7" w14:textId="77777777" w:rsidR="00C72BF2" w:rsidRPr="00430059" w:rsidRDefault="00C72BF2" w:rsidP="00AE3FA7">
            <w:pPr>
              <w:spacing w:line="240" w:lineRule="auto"/>
              <w:rPr>
                <w:rFonts w:cs="Arial"/>
                <w:szCs w:val="18"/>
                <w:lang w:eastAsia="en-GB"/>
              </w:rPr>
            </w:pPr>
            <w:r w:rsidRPr="00430059">
              <w:rPr>
                <w:rFonts w:cs="Arial"/>
                <w:szCs w:val="18"/>
                <w:lang w:eastAsia="en-GB"/>
              </w:rPr>
              <w:t>73.35</w:t>
            </w:r>
          </w:p>
        </w:tc>
        <w:tc>
          <w:tcPr>
            <w:tcW w:w="1080" w:type="dxa"/>
            <w:tcBorders>
              <w:top w:val="single" w:sz="6" w:space="0" w:color="008000"/>
            </w:tcBorders>
            <w:shd w:val="clear" w:color="auto" w:fill="auto"/>
            <w:noWrap/>
            <w:vAlign w:val="bottom"/>
            <w:hideMark/>
          </w:tcPr>
          <w:p w14:paraId="0D6CF76F" w14:textId="77777777" w:rsidR="00C72BF2" w:rsidRPr="00430059" w:rsidRDefault="00C72BF2" w:rsidP="00AE3FA7">
            <w:pPr>
              <w:spacing w:line="240" w:lineRule="auto"/>
              <w:rPr>
                <w:rFonts w:cs="Arial"/>
                <w:szCs w:val="18"/>
                <w:lang w:eastAsia="en-GB"/>
              </w:rPr>
            </w:pPr>
            <w:r w:rsidRPr="00430059">
              <w:rPr>
                <w:rFonts w:cs="Arial"/>
                <w:szCs w:val="18"/>
                <w:lang w:eastAsia="en-GB"/>
              </w:rPr>
              <w:t>36.28</w:t>
            </w:r>
          </w:p>
        </w:tc>
        <w:tc>
          <w:tcPr>
            <w:tcW w:w="1080" w:type="dxa"/>
            <w:tcBorders>
              <w:top w:val="single" w:sz="6" w:space="0" w:color="008000"/>
            </w:tcBorders>
            <w:shd w:val="clear" w:color="auto" w:fill="auto"/>
            <w:noWrap/>
            <w:vAlign w:val="bottom"/>
            <w:hideMark/>
          </w:tcPr>
          <w:p w14:paraId="285D027E" w14:textId="77777777" w:rsidR="00C72BF2" w:rsidRPr="00430059" w:rsidRDefault="00C72BF2" w:rsidP="00AE3FA7">
            <w:pPr>
              <w:spacing w:line="240" w:lineRule="auto"/>
              <w:rPr>
                <w:rFonts w:cs="Arial"/>
                <w:szCs w:val="18"/>
                <w:lang w:eastAsia="en-GB"/>
              </w:rPr>
            </w:pPr>
            <w:r w:rsidRPr="00430059">
              <w:rPr>
                <w:rFonts w:cs="Arial"/>
                <w:szCs w:val="18"/>
                <w:lang w:eastAsia="en-GB"/>
              </w:rPr>
              <w:t>15.07</w:t>
            </w:r>
          </w:p>
        </w:tc>
        <w:tc>
          <w:tcPr>
            <w:tcW w:w="720" w:type="dxa"/>
            <w:tcBorders>
              <w:top w:val="single" w:sz="6" w:space="0" w:color="008000"/>
            </w:tcBorders>
            <w:shd w:val="clear" w:color="auto" w:fill="auto"/>
            <w:noWrap/>
            <w:vAlign w:val="bottom"/>
            <w:hideMark/>
          </w:tcPr>
          <w:p w14:paraId="133552D9" w14:textId="77777777" w:rsidR="00C72BF2" w:rsidRPr="00430059" w:rsidRDefault="00C72BF2" w:rsidP="00AE3FA7">
            <w:pPr>
              <w:spacing w:line="240" w:lineRule="auto"/>
              <w:rPr>
                <w:rFonts w:cs="Arial"/>
                <w:szCs w:val="18"/>
                <w:lang w:eastAsia="en-GB"/>
              </w:rPr>
            </w:pPr>
            <w:r w:rsidRPr="00430059">
              <w:rPr>
                <w:rFonts w:cs="Arial"/>
                <w:szCs w:val="18"/>
                <w:lang w:eastAsia="en-GB"/>
              </w:rPr>
              <w:t>0.22</w:t>
            </w:r>
          </w:p>
        </w:tc>
        <w:tc>
          <w:tcPr>
            <w:tcW w:w="1170" w:type="dxa"/>
            <w:tcBorders>
              <w:top w:val="single" w:sz="6" w:space="0" w:color="008000"/>
            </w:tcBorders>
            <w:shd w:val="clear" w:color="auto" w:fill="auto"/>
            <w:noWrap/>
            <w:vAlign w:val="bottom"/>
            <w:hideMark/>
          </w:tcPr>
          <w:p w14:paraId="7FB815B6" w14:textId="77777777" w:rsidR="00C72BF2" w:rsidRPr="00430059" w:rsidRDefault="00C72BF2" w:rsidP="00AE3FA7">
            <w:pPr>
              <w:spacing w:line="240" w:lineRule="auto"/>
              <w:rPr>
                <w:rFonts w:cs="Arial"/>
                <w:szCs w:val="18"/>
                <w:lang w:eastAsia="en-GB"/>
              </w:rPr>
            </w:pPr>
            <w:r w:rsidRPr="00430059">
              <w:rPr>
                <w:rFonts w:cs="Arial"/>
                <w:szCs w:val="18"/>
                <w:lang w:eastAsia="en-GB"/>
              </w:rPr>
              <w:t>4.53</w:t>
            </w:r>
          </w:p>
        </w:tc>
        <w:tc>
          <w:tcPr>
            <w:tcW w:w="1080" w:type="dxa"/>
            <w:tcBorders>
              <w:top w:val="single" w:sz="6" w:space="0" w:color="008000"/>
            </w:tcBorders>
            <w:shd w:val="clear" w:color="auto" w:fill="auto"/>
            <w:noWrap/>
            <w:vAlign w:val="bottom"/>
            <w:hideMark/>
          </w:tcPr>
          <w:p w14:paraId="5425E0E0" w14:textId="77777777" w:rsidR="00C72BF2" w:rsidRPr="00430059" w:rsidRDefault="00C72BF2" w:rsidP="00AE3FA7">
            <w:pPr>
              <w:spacing w:line="240" w:lineRule="auto"/>
              <w:rPr>
                <w:rFonts w:cs="Arial"/>
                <w:szCs w:val="18"/>
                <w:lang w:eastAsia="en-GB"/>
              </w:rPr>
            </w:pPr>
            <w:r w:rsidRPr="00430059">
              <w:rPr>
                <w:rFonts w:cs="Arial"/>
                <w:szCs w:val="18"/>
                <w:lang w:eastAsia="en-GB"/>
              </w:rPr>
              <w:t>0.18</w:t>
            </w:r>
          </w:p>
        </w:tc>
      </w:tr>
      <w:tr w:rsidR="00430059" w:rsidRPr="00430059" w14:paraId="089D403C" w14:textId="77777777" w:rsidTr="00BD2018">
        <w:trPr>
          <w:trHeight w:val="288"/>
        </w:trPr>
        <w:tc>
          <w:tcPr>
            <w:tcW w:w="805" w:type="dxa"/>
            <w:tcBorders>
              <w:bottom w:val="single" w:sz="12" w:space="0" w:color="008000"/>
            </w:tcBorders>
            <w:shd w:val="clear" w:color="auto" w:fill="auto"/>
            <w:noWrap/>
            <w:vAlign w:val="bottom"/>
            <w:hideMark/>
          </w:tcPr>
          <w:p w14:paraId="07E80389" w14:textId="77777777" w:rsidR="00C72BF2" w:rsidRPr="00430059" w:rsidRDefault="00C72BF2" w:rsidP="00AE3FA7">
            <w:pPr>
              <w:spacing w:line="240" w:lineRule="auto"/>
              <w:rPr>
                <w:rFonts w:cs="Arial"/>
                <w:szCs w:val="18"/>
                <w:lang w:eastAsia="en-GB"/>
              </w:rPr>
            </w:pPr>
            <w:r w:rsidRPr="00430059">
              <w:rPr>
                <w:rFonts w:cs="Arial"/>
                <w:szCs w:val="18"/>
                <w:lang w:eastAsia="en-GB"/>
              </w:rPr>
              <w:t>500</w:t>
            </w:r>
          </w:p>
        </w:tc>
        <w:tc>
          <w:tcPr>
            <w:tcW w:w="1080" w:type="dxa"/>
            <w:tcBorders>
              <w:bottom w:val="single" w:sz="12" w:space="0" w:color="008000"/>
            </w:tcBorders>
            <w:shd w:val="clear" w:color="auto" w:fill="auto"/>
            <w:noWrap/>
            <w:vAlign w:val="bottom"/>
            <w:hideMark/>
          </w:tcPr>
          <w:p w14:paraId="6ADC48A7" w14:textId="77777777" w:rsidR="00C72BF2" w:rsidRPr="00430059" w:rsidRDefault="00C72BF2" w:rsidP="00AE3FA7">
            <w:pPr>
              <w:spacing w:line="240" w:lineRule="auto"/>
              <w:rPr>
                <w:rFonts w:cs="Arial"/>
                <w:szCs w:val="18"/>
                <w:lang w:eastAsia="en-GB"/>
              </w:rPr>
            </w:pPr>
            <w:r w:rsidRPr="00430059">
              <w:rPr>
                <w:rFonts w:cs="Arial"/>
                <w:szCs w:val="18"/>
                <w:lang w:eastAsia="en-GB"/>
              </w:rPr>
              <w:t>164.70</w:t>
            </w:r>
          </w:p>
        </w:tc>
        <w:tc>
          <w:tcPr>
            <w:tcW w:w="990" w:type="dxa"/>
            <w:tcBorders>
              <w:bottom w:val="single" w:sz="12" w:space="0" w:color="008000"/>
            </w:tcBorders>
            <w:shd w:val="clear" w:color="auto" w:fill="auto"/>
            <w:noWrap/>
            <w:vAlign w:val="bottom"/>
            <w:hideMark/>
          </w:tcPr>
          <w:p w14:paraId="1FDC1D1D" w14:textId="77777777" w:rsidR="00C72BF2" w:rsidRPr="00430059" w:rsidRDefault="00C72BF2" w:rsidP="00AE3FA7">
            <w:pPr>
              <w:spacing w:line="240" w:lineRule="auto"/>
              <w:rPr>
                <w:rFonts w:cs="Arial"/>
                <w:szCs w:val="18"/>
                <w:lang w:eastAsia="en-GB"/>
              </w:rPr>
            </w:pPr>
            <w:r w:rsidRPr="00430059">
              <w:rPr>
                <w:rFonts w:cs="Arial"/>
                <w:szCs w:val="18"/>
                <w:lang w:eastAsia="en-GB"/>
              </w:rPr>
              <w:t>37.16</w:t>
            </w:r>
          </w:p>
        </w:tc>
        <w:tc>
          <w:tcPr>
            <w:tcW w:w="990" w:type="dxa"/>
            <w:tcBorders>
              <w:bottom w:val="single" w:sz="12" w:space="0" w:color="008000"/>
            </w:tcBorders>
            <w:shd w:val="clear" w:color="auto" w:fill="auto"/>
            <w:noWrap/>
            <w:vAlign w:val="bottom"/>
            <w:hideMark/>
          </w:tcPr>
          <w:p w14:paraId="5A55B17B" w14:textId="77777777" w:rsidR="00C72BF2" w:rsidRPr="00430059" w:rsidRDefault="00C72BF2" w:rsidP="00AE3FA7">
            <w:pPr>
              <w:spacing w:line="240" w:lineRule="auto"/>
              <w:rPr>
                <w:rFonts w:cs="Arial"/>
                <w:szCs w:val="18"/>
                <w:lang w:eastAsia="en-GB"/>
              </w:rPr>
            </w:pPr>
            <w:r w:rsidRPr="00430059">
              <w:rPr>
                <w:rFonts w:cs="Arial"/>
                <w:szCs w:val="18"/>
                <w:lang w:eastAsia="en-GB"/>
              </w:rPr>
              <w:t>80.21</w:t>
            </w:r>
          </w:p>
        </w:tc>
        <w:tc>
          <w:tcPr>
            <w:tcW w:w="1080" w:type="dxa"/>
            <w:tcBorders>
              <w:bottom w:val="single" w:sz="12" w:space="0" w:color="008000"/>
            </w:tcBorders>
            <w:shd w:val="clear" w:color="auto" w:fill="auto"/>
            <w:noWrap/>
            <w:vAlign w:val="bottom"/>
            <w:hideMark/>
          </w:tcPr>
          <w:p w14:paraId="2486B49F" w14:textId="77777777" w:rsidR="00C72BF2" w:rsidRPr="00430059" w:rsidRDefault="00C72BF2" w:rsidP="00AE3FA7">
            <w:pPr>
              <w:spacing w:line="240" w:lineRule="auto"/>
              <w:rPr>
                <w:rFonts w:cs="Arial"/>
                <w:szCs w:val="18"/>
                <w:lang w:eastAsia="en-GB"/>
              </w:rPr>
            </w:pPr>
            <w:r w:rsidRPr="00430059">
              <w:rPr>
                <w:rFonts w:cs="Arial"/>
                <w:szCs w:val="18"/>
                <w:lang w:eastAsia="en-GB"/>
              </w:rPr>
              <w:t>43.05</w:t>
            </w:r>
          </w:p>
        </w:tc>
        <w:tc>
          <w:tcPr>
            <w:tcW w:w="1080" w:type="dxa"/>
            <w:tcBorders>
              <w:bottom w:val="single" w:sz="12" w:space="0" w:color="008000"/>
            </w:tcBorders>
            <w:shd w:val="clear" w:color="auto" w:fill="auto"/>
            <w:noWrap/>
            <w:vAlign w:val="bottom"/>
            <w:hideMark/>
          </w:tcPr>
          <w:p w14:paraId="5ECBF1AE" w14:textId="77777777" w:rsidR="00C72BF2" w:rsidRPr="00430059" w:rsidRDefault="00C72BF2" w:rsidP="00AE3FA7">
            <w:pPr>
              <w:spacing w:line="240" w:lineRule="auto"/>
              <w:rPr>
                <w:rFonts w:cs="Arial"/>
                <w:szCs w:val="18"/>
                <w:lang w:eastAsia="en-GB"/>
              </w:rPr>
            </w:pPr>
            <w:r w:rsidRPr="00430059">
              <w:rPr>
                <w:rFonts w:cs="Arial"/>
                <w:szCs w:val="18"/>
                <w:lang w:eastAsia="en-GB"/>
              </w:rPr>
              <w:t>48.29</w:t>
            </w:r>
          </w:p>
        </w:tc>
        <w:tc>
          <w:tcPr>
            <w:tcW w:w="720" w:type="dxa"/>
            <w:tcBorders>
              <w:bottom w:val="single" w:sz="12" w:space="0" w:color="008000"/>
            </w:tcBorders>
            <w:shd w:val="clear" w:color="auto" w:fill="auto"/>
            <w:noWrap/>
            <w:vAlign w:val="bottom"/>
            <w:hideMark/>
          </w:tcPr>
          <w:p w14:paraId="510389B6" w14:textId="77777777" w:rsidR="00C72BF2" w:rsidRPr="00430059" w:rsidRDefault="00C72BF2" w:rsidP="00AE3FA7">
            <w:pPr>
              <w:spacing w:line="240" w:lineRule="auto"/>
              <w:rPr>
                <w:rFonts w:cs="Arial"/>
                <w:szCs w:val="18"/>
                <w:lang w:eastAsia="en-GB"/>
              </w:rPr>
            </w:pPr>
            <w:r w:rsidRPr="00430059">
              <w:rPr>
                <w:rFonts w:cs="Arial"/>
                <w:szCs w:val="18"/>
                <w:lang w:eastAsia="en-GB"/>
              </w:rPr>
              <w:t>0.26</w:t>
            </w:r>
          </w:p>
        </w:tc>
        <w:tc>
          <w:tcPr>
            <w:tcW w:w="1170" w:type="dxa"/>
            <w:tcBorders>
              <w:bottom w:val="single" w:sz="12" w:space="0" w:color="008000"/>
            </w:tcBorders>
            <w:shd w:val="clear" w:color="auto" w:fill="auto"/>
            <w:noWrap/>
            <w:vAlign w:val="bottom"/>
            <w:hideMark/>
          </w:tcPr>
          <w:p w14:paraId="0FC6DB5E" w14:textId="77777777" w:rsidR="00C72BF2" w:rsidRPr="00430059" w:rsidRDefault="00C72BF2" w:rsidP="00AE3FA7">
            <w:pPr>
              <w:spacing w:line="240" w:lineRule="auto"/>
              <w:rPr>
                <w:rFonts w:cs="Arial"/>
                <w:szCs w:val="18"/>
                <w:lang w:eastAsia="en-GB"/>
              </w:rPr>
            </w:pPr>
            <w:r w:rsidRPr="00430059">
              <w:rPr>
                <w:rFonts w:cs="Arial"/>
                <w:szCs w:val="18"/>
                <w:lang w:eastAsia="en-GB"/>
              </w:rPr>
              <w:t>3.83</w:t>
            </w:r>
          </w:p>
        </w:tc>
        <w:tc>
          <w:tcPr>
            <w:tcW w:w="1080" w:type="dxa"/>
            <w:tcBorders>
              <w:bottom w:val="single" w:sz="12" w:space="0" w:color="008000"/>
            </w:tcBorders>
            <w:shd w:val="clear" w:color="auto" w:fill="auto"/>
            <w:noWrap/>
            <w:vAlign w:val="bottom"/>
            <w:hideMark/>
          </w:tcPr>
          <w:p w14:paraId="5ADA6D3A" w14:textId="77777777" w:rsidR="00C72BF2" w:rsidRPr="00430059" w:rsidRDefault="00C72BF2" w:rsidP="00AE3FA7">
            <w:pPr>
              <w:spacing w:line="240" w:lineRule="auto"/>
              <w:rPr>
                <w:rFonts w:cs="Arial"/>
                <w:szCs w:val="18"/>
                <w:lang w:eastAsia="en-GB"/>
              </w:rPr>
            </w:pPr>
            <w:r w:rsidRPr="00430059">
              <w:rPr>
                <w:rFonts w:cs="Arial"/>
                <w:szCs w:val="18"/>
                <w:lang w:eastAsia="en-GB"/>
              </w:rPr>
              <w:t>0.04</w:t>
            </w:r>
          </w:p>
        </w:tc>
      </w:tr>
    </w:tbl>
    <w:p w14:paraId="2D1C5ADE" w14:textId="13491A76" w:rsidR="00BD2018" w:rsidRPr="00430059" w:rsidRDefault="00BD2018" w:rsidP="00AE3FA7">
      <w:pPr>
        <w:spacing w:before="120"/>
        <w:ind w:firstLine="720"/>
      </w:pPr>
      <w:r w:rsidRPr="00430059">
        <w:t>The variations in CAPEX and OPEX between the two processes are minimal, while the other parameters displayed a notable difference. Pyrolysis carried out at 500</w:t>
      </w:r>
      <w:r w:rsidR="00EE0B89" w:rsidRPr="00430059">
        <w:t xml:space="preserve"> °C</w:t>
      </w:r>
      <w:r w:rsidRPr="00430059">
        <w:t xml:space="preserve"> resulted in higher sales and profits compared to pyrolysis at 250</w:t>
      </w:r>
      <w:r w:rsidR="00EE0B89" w:rsidRPr="00430059">
        <w:t xml:space="preserve"> °C</w:t>
      </w:r>
      <w:r w:rsidRPr="00430059">
        <w:t xml:space="preserve"> due to the increased generation of biooil, which has a higher market value than biochar. A higher NPV was achieved at 500</w:t>
      </w:r>
      <w:r w:rsidR="00EE0B89" w:rsidRPr="00430059">
        <w:t xml:space="preserve"> °C</w:t>
      </w:r>
      <w:r w:rsidRPr="00430059">
        <w:t>, confirming that the process carried out at this temperature will be more profitable. An elevated ROI at 500</w:t>
      </w:r>
      <w:r w:rsidR="00EE0B89" w:rsidRPr="00430059">
        <w:t xml:space="preserve"> °C</w:t>
      </w:r>
      <w:r w:rsidRPr="00430059">
        <w:t xml:space="preserve"> suggests that the process would yield greater profits compared to a process conducted at 250</w:t>
      </w:r>
      <w:r w:rsidR="00EE0B89" w:rsidRPr="00430059">
        <w:t xml:space="preserve"> °C</w:t>
      </w:r>
      <w:r w:rsidRPr="00430059">
        <w:t>. A shorter payback period at 500</w:t>
      </w:r>
      <w:r w:rsidR="00EE0B89" w:rsidRPr="00430059">
        <w:t xml:space="preserve"> °C</w:t>
      </w:r>
      <w:r w:rsidRPr="00430059">
        <w:t xml:space="preserve"> indicates that the initial investment for the procedure can be recovered within 4 years. Both processes provide biochar at a price lower than the market price of biochar, which is 0.2 USD/kg. The difference in biochar MSP between the two processes is mainly attributed to the higher bio-oil production at 500</w:t>
      </w:r>
      <w:r w:rsidR="00EE0B89" w:rsidRPr="00430059">
        <w:t xml:space="preserve"> °C</w:t>
      </w:r>
      <w:r w:rsidRPr="00430059">
        <w:t xml:space="preserve"> and the elevated market value of bio-oil at 0.4 USD/kg. It could be concluded that operating the process at 500</w:t>
      </w:r>
      <w:r w:rsidR="00EE0B89" w:rsidRPr="00430059">
        <w:t xml:space="preserve"> °C</w:t>
      </w:r>
      <w:r w:rsidRPr="00430059">
        <w:t xml:space="preserve"> could lead to increased profitability but reduced biochar production.</w:t>
      </w:r>
    </w:p>
    <w:p w14:paraId="33D6C480" w14:textId="2014C6AC" w:rsidR="00BD2018" w:rsidRPr="00430059" w:rsidRDefault="00BD2018" w:rsidP="00AE3FA7">
      <w:pPr>
        <w:spacing w:before="120"/>
        <w:ind w:firstLine="720"/>
      </w:pPr>
      <w:r w:rsidRPr="00430059">
        <w:t>Table 4. shows the biochar generation and revenue potential from poultry manure available in Qatar. The amount of dry waste feed is determined based on the assumption that it contains only 10</w:t>
      </w:r>
      <w:r w:rsidR="00EE0B89" w:rsidRPr="00430059">
        <w:t xml:space="preserve"> %</w:t>
      </w:r>
      <w:r w:rsidRPr="00430059">
        <w:t xml:space="preserve"> moisture and is acceptable for pyrolysis treatment.</w:t>
      </w:r>
    </w:p>
    <w:p w14:paraId="6C28BDA5" w14:textId="3B85F741" w:rsidR="00BD2018" w:rsidRPr="00430059" w:rsidRDefault="00BD2018" w:rsidP="00AE3FA7">
      <w:pPr>
        <w:spacing w:before="120"/>
        <w:rPr>
          <w:rFonts w:cs="Arial"/>
          <w:b/>
          <w:bCs/>
          <w:szCs w:val="18"/>
        </w:rPr>
      </w:pPr>
      <w:r w:rsidRPr="00430059">
        <w:rPr>
          <w:rFonts w:cs="Arial"/>
          <w:szCs w:val="18"/>
        </w:rPr>
        <w:t>Table 4.</w:t>
      </w:r>
      <w:r w:rsidRPr="00430059">
        <w:rPr>
          <w:rFonts w:cs="Arial"/>
          <w:b/>
          <w:bCs/>
          <w:szCs w:val="18"/>
        </w:rPr>
        <w:t xml:space="preserve"> </w:t>
      </w:r>
      <w:r w:rsidRPr="00430059">
        <w:rPr>
          <w:rFonts w:cs="Arial"/>
          <w:szCs w:val="18"/>
        </w:rPr>
        <w:t>Production of biochar and potential income from poultry litter waste in</w:t>
      </w:r>
      <w:r w:rsidR="00975CF1" w:rsidRPr="00430059">
        <w:rPr>
          <w:rFonts w:cs="Arial"/>
          <w:szCs w:val="18"/>
        </w:rPr>
        <w:t xml:space="preserve"> </w:t>
      </w:r>
      <w:r w:rsidRPr="00430059">
        <w:rPr>
          <w:rFonts w:cs="Arial"/>
          <w:szCs w:val="18"/>
        </w:rPr>
        <w:t>Qatar.</w:t>
      </w:r>
    </w:p>
    <w:tbl>
      <w:tblPr>
        <w:tblW w:w="0" w:type="auto"/>
        <w:tblLook w:val="04A0" w:firstRow="1" w:lastRow="0" w:firstColumn="1" w:lastColumn="0" w:noHBand="0" w:noVBand="1"/>
      </w:tblPr>
      <w:tblGrid>
        <w:gridCol w:w="1242"/>
        <w:gridCol w:w="1170"/>
        <w:gridCol w:w="1441"/>
        <w:gridCol w:w="1265"/>
        <w:gridCol w:w="1078"/>
        <w:gridCol w:w="1045"/>
        <w:gridCol w:w="935"/>
        <w:gridCol w:w="827"/>
      </w:tblGrid>
      <w:tr w:rsidR="00430059" w:rsidRPr="00430059" w14:paraId="6B05C909" w14:textId="77777777" w:rsidTr="00BD2018">
        <w:trPr>
          <w:trHeight w:val="499"/>
        </w:trPr>
        <w:tc>
          <w:tcPr>
            <w:tcW w:w="1255" w:type="dxa"/>
            <w:vMerge w:val="restart"/>
            <w:tcBorders>
              <w:top w:val="single" w:sz="12" w:space="0" w:color="00B050"/>
            </w:tcBorders>
            <w:shd w:val="clear" w:color="auto" w:fill="auto"/>
            <w:vAlign w:val="center"/>
            <w:hideMark/>
          </w:tcPr>
          <w:p w14:paraId="72005774" w14:textId="77CEC667" w:rsidR="00BD2018" w:rsidRPr="00430059" w:rsidRDefault="00BD2018" w:rsidP="00AE3FA7">
            <w:pPr>
              <w:spacing w:line="240" w:lineRule="auto"/>
              <w:rPr>
                <w:rFonts w:cs="Arial"/>
                <w:szCs w:val="18"/>
                <w:lang w:eastAsia="en-GB"/>
              </w:rPr>
            </w:pPr>
            <w:r w:rsidRPr="00430059">
              <w:rPr>
                <w:rFonts w:cs="Arial"/>
                <w:szCs w:val="18"/>
                <w:lang w:eastAsia="en-GB"/>
              </w:rPr>
              <w:t>Available poultry litter quantity (</w:t>
            </w:r>
            <w:r w:rsidR="00975CF1" w:rsidRPr="00430059">
              <w:rPr>
                <w:rFonts w:cs="Arial"/>
                <w:szCs w:val="18"/>
                <w:lang w:eastAsia="en-GB"/>
              </w:rPr>
              <w:t>t</w:t>
            </w:r>
            <w:r w:rsidRPr="00430059">
              <w:rPr>
                <w:rFonts w:cs="Arial"/>
                <w:szCs w:val="18"/>
                <w:lang w:eastAsia="en-GB"/>
              </w:rPr>
              <w:t>/y)</w:t>
            </w:r>
          </w:p>
        </w:tc>
        <w:tc>
          <w:tcPr>
            <w:tcW w:w="1170" w:type="dxa"/>
            <w:vMerge w:val="restart"/>
            <w:tcBorders>
              <w:top w:val="single" w:sz="12" w:space="0" w:color="00B050"/>
            </w:tcBorders>
            <w:shd w:val="clear" w:color="auto" w:fill="auto"/>
            <w:vAlign w:val="center"/>
            <w:hideMark/>
          </w:tcPr>
          <w:p w14:paraId="1227E85E" w14:textId="1D6C91B0" w:rsidR="00BD2018" w:rsidRPr="00430059" w:rsidRDefault="00BD2018" w:rsidP="00AE3FA7">
            <w:pPr>
              <w:spacing w:line="240" w:lineRule="auto"/>
              <w:rPr>
                <w:rFonts w:cs="Arial"/>
                <w:szCs w:val="18"/>
                <w:lang w:eastAsia="en-GB"/>
              </w:rPr>
            </w:pPr>
            <w:r w:rsidRPr="00430059">
              <w:rPr>
                <w:rFonts w:cs="Arial"/>
                <w:szCs w:val="18"/>
                <w:lang w:eastAsia="en-GB"/>
              </w:rPr>
              <w:t>Dry poultry litter quantity (</w:t>
            </w:r>
            <w:r w:rsidR="00975CF1" w:rsidRPr="00430059">
              <w:rPr>
                <w:rFonts w:cs="Arial"/>
                <w:szCs w:val="18"/>
                <w:lang w:eastAsia="en-GB"/>
              </w:rPr>
              <w:t>t</w:t>
            </w:r>
            <w:r w:rsidRPr="00430059">
              <w:rPr>
                <w:rFonts w:cs="Arial"/>
                <w:szCs w:val="18"/>
                <w:lang w:eastAsia="en-GB"/>
              </w:rPr>
              <w:t>/y)</w:t>
            </w:r>
            <w:r w:rsidRPr="00430059">
              <w:rPr>
                <w:rFonts w:cs="Arial"/>
                <w:szCs w:val="18"/>
                <w:vertAlign w:val="superscript"/>
                <w:lang w:eastAsia="en-GB"/>
              </w:rPr>
              <w:t xml:space="preserve"> </w:t>
            </w:r>
          </w:p>
        </w:tc>
        <w:tc>
          <w:tcPr>
            <w:tcW w:w="1441" w:type="dxa"/>
            <w:tcBorders>
              <w:top w:val="single" w:sz="12" w:space="0" w:color="00B050"/>
              <w:bottom w:val="single" w:sz="6" w:space="0" w:color="00B050"/>
            </w:tcBorders>
            <w:shd w:val="clear" w:color="auto" w:fill="auto"/>
            <w:noWrap/>
            <w:vAlign w:val="center"/>
            <w:hideMark/>
          </w:tcPr>
          <w:p w14:paraId="200A0EEE" w14:textId="38445156" w:rsidR="00BD2018" w:rsidRPr="00430059" w:rsidRDefault="00BD2018" w:rsidP="00AE3FA7">
            <w:pPr>
              <w:spacing w:line="240" w:lineRule="auto"/>
              <w:rPr>
                <w:rFonts w:cs="Arial"/>
                <w:szCs w:val="18"/>
                <w:lang w:eastAsia="en-GB"/>
              </w:rPr>
            </w:pPr>
            <w:r w:rsidRPr="00430059">
              <w:rPr>
                <w:rFonts w:cs="Arial"/>
                <w:szCs w:val="18"/>
                <w:lang w:eastAsia="en-GB"/>
              </w:rPr>
              <w:t>Estimated biochar yield</w:t>
            </w:r>
            <w:r w:rsidRPr="00430059">
              <w:rPr>
                <w:rFonts w:cs="Arial"/>
                <w:szCs w:val="18"/>
                <w:vertAlign w:val="superscript"/>
                <w:lang w:eastAsia="en-GB"/>
              </w:rPr>
              <w:t>*</w:t>
            </w:r>
            <w:r w:rsidRPr="00430059">
              <w:rPr>
                <w:rFonts w:cs="Arial"/>
                <w:szCs w:val="18"/>
                <w:lang w:eastAsia="en-GB"/>
              </w:rPr>
              <w:t xml:space="preserve"> (</w:t>
            </w:r>
            <w:r w:rsidR="00EE0B89" w:rsidRPr="00430059">
              <w:rPr>
                <w:rFonts w:cs="Arial"/>
                <w:szCs w:val="18"/>
                <w:lang w:eastAsia="en-GB"/>
              </w:rPr>
              <w:t>%</w:t>
            </w:r>
            <w:r w:rsidRPr="00430059">
              <w:rPr>
                <w:rFonts w:cs="Arial"/>
                <w:szCs w:val="18"/>
                <w:lang w:eastAsia="en-GB"/>
              </w:rPr>
              <w:t>)</w:t>
            </w:r>
          </w:p>
        </w:tc>
        <w:tc>
          <w:tcPr>
            <w:tcW w:w="1265" w:type="dxa"/>
            <w:tcBorders>
              <w:top w:val="single" w:sz="12" w:space="0" w:color="00B050"/>
              <w:bottom w:val="single" w:sz="6" w:space="0" w:color="00B050"/>
            </w:tcBorders>
            <w:shd w:val="clear" w:color="auto" w:fill="auto"/>
            <w:noWrap/>
            <w:vAlign w:val="center"/>
            <w:hideMark/>
          </w:tcPr>
          <w:p w14:paraId="3CEB7D74" w14:textId="2FF117CD" w:rsidR="00BD2018" w:rsidRPr="00430059" w:rsidRDefault="00BD2018" w:rsidP="00AE3FA7">
            <w:pPr>
              <w:spacing w:line="240" w:lineRule="auto"/>
              <w:rPr>
                <w:rFonts w:cs="Arial"/>
                <w:szCs w:val="18"/>
                <w:lang w:eastAsia="en-GB"/>
              </w:rPr>
            </w:pPr>
            <w:r w:rsidRPr="00430059">
              <w:rPr>
                <w:rFonts w:cs="Arial"/>
                <w:szCs w:val="18"/>
                <w:lang w:eastAsia="en-GB"/>
              </w:rPr>
              <w:t>Estimated biochar yield</w:t>
            </w:r>
            <w:r w:rsidRPr="00430059">
              <w:rPr>
                <w:rFonts w:cs="Arial"/>
                <w:szCs w:val="18"/>
                <w:vertAlign w:val="superscript"/>
                <w:lang w:eastAsia="en-GB"/>
              </w:rPr>
              <w:t>*</w:t>
            </w:r>
            <w:r w:rsidRPr="00430059">
              <w:rPr>
                <w:rFonts w:cs="Arial"/>
                <w:szCs w:val="18"/>
                <w:lang w:eastAsia="en-GB"/>
              </w:rPr>
              <w:t xml:space="preserve"> (</w:t>
            </w:r>
            <w:r w:rsidR="00EE0B89" w:rsidRPr="00430059">
              <w:rPr>
                <w:rFonts w:cs="Arial"/>
                <w:szCs w:val="18"/>
                <w:lang w:eastAsia="en-GB"/>
              </w:rPr>
              <w:t>%</w:t>
            </w:r>
            <w:r w:rsidRPr="00430059">
              <w:rPr>
                <w:rFonts w:cs="Arial"/>
                <w:szCs w:val="18"/>
                <w:lang w:eastAsia="en-GB"/>
              </w:rPr>
              <w:t xml:space="preserve">) </w:t>
            </w:r>
          </w:p>
        </w:tc>
        <w:tc>
          <w:tcPr>
            <w:tcW w:w="2123" w:type="dxa"/>
            <w:gridSpan w:val="2"/>
            <w:tcBorders>
              <w:top w:val="single" w:sz="12" w:space="0" w:color="00B050"/>
              <w:bottom w:val="single" w:sz="6" w:space="0" w:color="00B050"/>
            </w:tcBorders>
            <w:shd w:val="clear" w:color="auto" w:fill="auto"/>
            <w:vAlign w:val="center"/>
            <w:hideMark/>
          </w:tcPr>
          <w:p w14:paraId="31389F70" w14:textId="37A77A72" w:rsidR="00BD2018" w:rsidRPr="00430059" w:rsidRDefault="00BD2018" w:rsidP="00AE3FA7">
            <w:pPr>
              <w:spacing w:line="240" w:lineRule="auto"/>
              <w:rPr>
                <w:rFonts w:cs="Arial"/>
                <w:szCs w:val="18"/>
                <w:lang w:eastAsia="en-GB"/>
              </w:rPr>
            </w:pPr>
            <w:r w:rsidRPr="00430059">
              <w:rPr>
                <w:rFonts w:cs="Arial"/>
                <w:szCs w:val="18"/>
                <w:lang w:eastAsia="en-GB"/>
              </w:rPr>
              <w:t>Biochar production potential (</w:t>
            </w:r>
            <w:r w:rsidR="00975CF1" w:rsidRPr="00430059">
              <w:rPr>
                <w:rFonts w:cs="Arial"/>
                <w:szCs w:val="18"/>
                <w:lang w:eastAsia="en-GB"/>
              </w:rPr>
              <w:t>t</w:t>
            </w:r>
            <w:r w:rsidRPr="00430059">
              <w:rPr>
                <w:rFonts w:cs="Arial"/>
                <w:szCs w:val="18"/>
                <w:lang w:eastAsia="en-GB"/>
              </w:rPr>
              <w:t>/y)**</w:t>
            </w:r>
          </w:p>
        </w:tc>
        <w:tc>
          <w:tcPr>
            <w:tcW w:w="1762" w:type="dxa"/>
            <w:gridSpan w:val="2"/>
            <w:tcBorders>
              <w:top w:val="single" w:sz="12" w:space="0" w:color="00B050"/>
              <w:bottom w:val="single" w:sz="6" w:space="0" w:color="00B050"/>
            </w:tcBorders>
            <w:shd w:val="clear" w:color="auto" w:fill="auto"/>
            <w:vAlign w:val="center"/>
            <w:hideMark/>
          </w:tcPr>
          <w:p w14:paraId="64494C6C" w14:textId="00BEF186" w:rsidR="00BD2018" w:rsidRPr="00430059" w:rsidRDefault="00BD2018" w:rsidP="00AE3FA7">
            <w:pPr>
              <w:spacing w:line="240" w:lineRule="auto"/>
              <w:rPr>
                <w:rFonts w:cs="Arial"/>
                <w:szCs w:val="18"/>
                <w:lang w:eastAsia="en-GB"/>
              </w:rPr>
            </w:pPr>
            <w:r w:rsidRPr="00430059">
              <w:rPr>
                <w:rFonts w:cs="Arial"/>
                <w:szCs w:val="18"/>
                <w:lang w:eastAsia="en-GB"/>
              </w:rPr>
              <w:t>Expected annual biochar revenue (</w:t>
            </w:r>
            <w:r w:rsidR="00975CF1" w:rsidRPr="00430059">
              <w:t>10</w:t>
            </w:r>
            <w:r w:rsidR="00975CF1" w:rsidRPr="00430059">
              <w:rPr>
                <w:vertAlign w:val="superscript"/>
              </w:rPr>
              <w:t>6</w:t>
            </w:r>
            <w:r w:rsidRPr="00430059">
              <w:rPr>
                <w:rFonts w:cs="Arial"/>
                <w:szCs w:val="18"/>
                <w:lang w:eastAsia="en-GB"/>
              </w:rPr>
              <w:t xml:space="preserve"> USD)</w:t>
            </w:r>
          </w:p>
        </w:tc>
      </w:tr>
      <w:tr w:rsidR="00430059" w:rsidRPr="00430059" w14:paraId="43D6AC3C" w14:textId="77777777" w:rsidTr="00BD2018">
        <w:trPr>
          <w:trHeight w:val="499"/>
        </w:trPr>
        <w:tc>
          <w:tcPr>
            <w:tcW w:w="1255" w:type="dxa"/>
            <w:vMerge/>
            <w:tcBorders>
              <w:bottom w:val="single" w:sz="6" w:space="0" w:color="00B050"/>
            </w:tcBorders>
            <w:vAlign w:val="center"/>
            <w:hideMark/>
          </w:tcPr>
          <w:p w14:paraId="57FE5D7F" w14:textId="77777777" w:rsidR="00BD2018" w:rsidRPr="00430059" w:rsidRDefault="00BD2018" w:rsidP="00AE3FA7">
            <w:pPr>
              <w:spacing w:line="240" w:lineRule="auto"/>
              <w:rPr>
                <w:rFonts w:cs="Arial"/>
                <w:szCs w:val="18"/>
                <w:lang w:eastAsia="en-GB"/>
              </w:rPr>
            </w:pPr>
          </w:p>
        </w:tc>
        <w:tc>
          <w:tcPr>
            <w:tcW w:w="1170" w:type="dxa"/>
            <w:vMerge/>
            <w:tcBorders>
              <w:bottom w:val="single" w:sz="6" w:space="0" w:color="00B050"/>
            </w:tcBorders>
            <w:vAlign w:val="center"/>
            <w:hideMark/>
          </w:tcPr>
          <w:p w14:paraId="5455BB76" w14:textId="77777777" w:rsidR="00BD2018" w:rsidRPr="00430059" w:rsidRDefault="00BD2018" w:rsidP="00AE3FA7">
            <w:pPr>
              <w:spacing w:line="240" w:lineRule="auto"/>
              <w:rPr>
                <w:rFonts w:cs="Arial"/>
                <w:szCs w:val="18"/>
                <w:lang w:eastAsia="en-GB"/>
              </w:rPr>
            </w:pPr>
          </w:p>
        </w:tc>
        <w:tc>
          <w:tcPr>
            <w:tcW w:w="1441" w:type="dxa"/>
            <w:tcBorders>
              <w:top w:val="single" w:sz="6" w:space="0" w:color="00B050"/>
              <w:bottom w:val="single" w:sz="6" w:space="0" w:color="00B050"/>
            </w:tcBorders>
            <w:shd w:val="clear" w:color="auto" w:fill="auto"/>
            <w:noWrap/>
            <w:vAlign w:val="center"/>
            <w:hideMark/>
          </w:tcPr>
          <w:p w14:paraId="78056E0A" w14:textId="7D26E488" w:rsidR="00BD2018" w:rsidRPr="00430059" w:rsidRDefault="00BD2018" w:rsidP="00AE3FA7">
            <w:pPr>
              <w:spacing w:line="240" w:lineRule="auto"/>
              <w:rPr>
                <w:rFonts w:cs="Arial"/>
                <w:szCs w:val="18"/>
                <w:lang w:eastAsia="en-GB"/>
              </w:rPr>
            </w:pPr>
            <w:r w:rsidRPr="00430059">
              <w:rPr>
                <w:rFonts w:cs="Arial"/>
                <w:szCs w:val="18"/>
                <w:lang w:eastAsia="en-GB"/>
              </w:rPr>
              <w:t>at 250</w:t>
            </w:r>
            <w:r w:rsidR="00EE0B89" w:rsidRPr="00430059">
              <w:rPr>
                <w:rFonts w:cs="Arial"/>
                <w:szCs w:val="18"/>
                <w:lang w:eastAsia="en-GB"/>
              </w:rPr>
              <w:t xml:space="preserve"> °C</w:t>
            </w:r>
          </w:p>
        </w:tc>
        <w:tc>
          <w:tcPr>
            <w:tcW w:w="1265" w:type="dxa"/>
            <w:tcBorders>
              <w:top w:val="single" w:sz="6" w:space="0" w:color="00B050"/>
              <w:bottom w:val="single" w:sz="6" w:space="0" w:color="00B050"/>
            </w:tcBorders>
            <w:shd w:val="clear" w:color="auto" w:fill="auto"/>
            <w:noWrap/>
            <w:vAlign w:val="center"/>
            <w:hideMark/>
          </w:tcPr>
          <w:p w14:paraId="035B5D1D" w14:textId="7D9C150A" w:rsidR="00BD2018" w:rsidRPr="00430059" w:rsidRDefault="00BD2018" w:rsidP="00AE3FA7">
            <w:pPr>
              <w:spacing w:line="240" w:lineRule="auto"/>
              <w:rPr>
                <w:rFonts w:cs="Arial"/>
                <w:szCs w:val="18"/>
                <w:lang w:eastAsia="en-GB"/>
              </w:rPr>
            </w:pPr>
            <w:r w:rsidRPr="00430059">
              <w:rPr>
                <w:rFonts w:cs="Arial"/>
                <w:szCs w:val="18"/>
                <w:lang w:eastAsia="en-GB"/>
              </w:rPr>
              <w:t>at 500</w:t>
            </w:r>
            <w:r w:rsidR="00EE0B89" w:rsidRPr="00430059">
              <w:rPr>
                <w:rFonts w:cs="Arial"/>
                <w:szCs w:val="18"/>
                <w:lang w:eastAsia="en-GB"/>
              </w:rPr>
              <w:t xml:space="preserve"> °C</w:t>
            </w:r>
          </w:p>
        </w:tc>
        <w:tc>
          <w:tcPr>
            <w:tcW w:w="1078" w:type="dxa"/>
            <w:tcBorders>
              <w:top w:val="single" w:sz="6" w:space="0" w:color="00B050"/>
              <w:bottom w:val="single" w:sz="6" w:space="0" w:color="00B050"/>
            </w:tcBorders>
            <w:shd w:val="clear" w:color="auto" w:fill="auto"/>
            <w:noWrap/>
            <w:vAlign w:val="center"/>
            <w:hideMark/>
          </w:tcPr>
          <w:p w14:paraId="630FCF2A" w14:textId="1CEB1CF9" w:rsidR="00BD2018" w:rsidRPr="00430059" w:rsidRDefault="00BD2018" w:rsidP="00AE3FA7">
            <w:pPr>
              <w:spacing w:line="240" w:lineRule="auto"/>
              <w:rPr>
                <w:rFonts w:cs="Arial"/>
                <w:szCs w:val="18"/>
                <w:lang w:eastAsia="en-GB"/>
              </w:rPr>
            </w:pPr>
            <w:r w:rsidRPr="00430059">
              <w:rPr>
                <w:rFonts w:cs="Arial"/>
                <w:szCs w:val="18"/>
                <w:lang w:eastAsia="en-GB"/>
              </w:rPr>
              <w:t>at 250</w:t>
            </w:r>
            <w:r w:rsidR="00EE0B89" w:rsidRPr="00430059">
              <w:rPr>
                <w:rFonts w:cs="Arial"/>
                <w:szCs w:val="18"/>
                <w:lang w:eastAsia="en-GB"/>
              </w:rPr>
              <w:t xml:space="preserve"> °C</w:t>
            </w:r>
          </w:p>
        </w:tc>
        <w:tc>
          <w:tcPr>
            <w:tcW w:w="1045" w:type="dxa"/>
            <w:tcBorders>
              <w:top w:val="single" w:sz="6" w:space="0" w:color="00B050"/>
              <w:bottom w:val="single" w:sz="6" w:space="0" w:color="00B050"/>
            </w:tcBorders>
            <w:shd w:val="clear" w:color="auto" w:fill="auto"/>
            <w:noWrap/>
            <w:vAlign w:val="center"/>
            <w:hideMark/>
          </w:tcPr>
          <w:p w14:paraId="708B6FD9" w14:textId="1457DDE8" w:rsidR="00BD2018" w:rsidRPr="00430059" w:rsidRDefault="00BD2018" w:rsidP="00AE3FA7">
            <w:pPr>
              <w:spacing w:line="240" w:lineRule="auto"/>
              <w:rPr>
                <w:rFonts w:cs="Arial"/>
                <w:szCs w:val="18"/>
                <w:lang w:eastAsia="en-GB"/>
              </w:rPr>
            </w:pPr>
            <w:r w:rsidRPr="00430059">
              <w:rPr>
                <w:rFonts w:cs="Arial"/>
                <w:szCs w:val="18"/>
                <w:lang w:eastAsia="en-GB"/>
              </w:rPr>
              <w:t>at 500</w:t>
            </w:r>
            <w:r w:rsidR="00EE0B89" w:rsidRPr="00430059">
              <w:rPr>
                <w:rFonts w:cs="Arial"/>
                <w:szCs w:val="18"/>
                <w:lang w:eastAsia="en-GB"/>
              </w:rPr>
              <w:t xml:space="preserve"> °C</w:t>
            </w:r>
          </w:p>
        </w:tc>
        <w:tc>
          <w:tcPr>
            <w:tcW w:w="935" w:type="dxa"/>
            <w:tcBorders>
              <w:top w:val="single" w:sz="6" w:space="0" w:color="00B050"/>
              <w:bottom w:val="single" w:sz="6" w:space="0" w:color="00B050"/>
            </w:tcBorders>
            <w:shd w:val="clear" w:color="auto" w:fill="auto"/>
            <w:noWrap/>
            <w:vAlign w:val="center"/>
            <w:hideMark/>
          </w:tcPr>
          <w:p w14:paraId="304EBFC2" w14:textId="410C9D17" w:rsidR="00BD2018" w:rsidRPr="00430059" w:rsidRDefault="00BD2018" w:rsidP="00AE3FA7">
            <w:pPr>
              <w:spacing w:line="240" w:lineRule="auto"/>
              <w:rPr>
                <w:rFonts w:cs="Arial"/>
                <w:szCs w:val="18"/>
                <w:lang w:eastAsia="en-GB"/>
              </w:rPr>
            </w:pPr>
            <w:r w:rsidRPr="00430059">
              <w:rPr>
                <w:rFonts w:cs="Arial"/>
                <w:szCs w:val="18"/>
                <w:lang w:eastAsia="en-GB"/>
              </w:rPr>
              <w:t>at 250</w:t>
            </w:r>
            <w:r w:rsidR="00EE0B89" w:rsidRPr="00430059">
              <w:rPr>
                <w:rFonts w:cs="Arial"/>
                <w:szCs w:val="18"/>
                <w:lang w:eastAsia="en-GB"/>
              </w:rPr>
              <w:t xml:space="preserve"> °C</w:t>
            </w:r>
          </w:p>
        </w:tc>
        <w:tc>
          <w:tcPr>
            <w:tcW w:w="827" w:type="dxa"/>
            <w:tcBorders>
              <w:top w:val="single" w:sz="6" w:space="0" w:color="00B050"/>
              <w:bottom w:val="single" w:sz="6" w:space="0" w:color="00B050"/>
            </w:tcBorders>
            <w:shd w:val="clear" w:color="auto" w:fill="auto"/>
            <w:noWrap/>
            <w:vAlign w:val="center"/>
            <w:hideMark/>
          </w:tcPr>
          <w:p w14:paraId="581F4CEB" w14:textId="632ED8C8" w:rsidR="00BD2018" w:rsidRPr="00430059" w:rsidRDefault="00BD2018" w:rsidP="00AE3FA7">
            <w:pPr>
              <w:spacing w:line="240" w:lineRule="auto"/>
              <w:rPr>
                <w:rFonts w:cs="Arial"/>
                <w:szCs w:val="18"/>
                <w:lang w:eastAsia="en-GB"/>
              </w:rPr>
            </w:pPr>
            <w:r w:rsidRPr="00430059">
              <w:rPr>
                <w:rFonts w:cs="Arial"/>
                <w:szCs w:val="18"/>
                <w:lang w:eastAsia="en-GB"/>
              </w:rPr>
              <w:t>at 500</w:t>
            </w:r>
            <w:r w:rsidR="00EE0B89" w:rsidRPr="00430059">
              <w:rPr>
                <w:rFonts w:cs="Arial"/>
                <w:szCs w:val="18"/>
                <w:lang w:eastAsia="en-GB"/>
              </w:rPr>
              <w:t xml:space="preserve"> °C</w:t>
            </w:r>
          </w:p>
        </w:tc>
      </w:tr>
      <w:tr w:rsidR="00430059" w:rsidRPr="00430059" w14:paraId="4B0D84E3" w14:textId="77777777" w:rsidTr="00BD2018">
        <w:trPr>
          <w:trHeight w:val="499"/>
        </w:trPr>
        <w:tc>
          <w:tcPr>
            <w:tcW w:w="1255" w:type="dxa"/>
            <w:tcBorders>
              <w:top w:val="single" w:sz="6" w:space="0" w:color="00B050"/>
              <w:bottom w:val="single" w:sz="12" w:space="0" w:color="00B050"/>
            </w:tcBorders>
            <w:shd w:val="clear" w:color="auto" w:fill="auto"/>
            <w:vAlign w:val="center"/>
            <w:hideMark/>
          </w:tcPr>
          <w:p w14:paraId="1D9A63F9" w14:textId="77777777" w:rsidR="00BD2018" w:rsidRPr="00430059" w:rsidRDefault="00BD2018" w:rsidP="00AE3FA7">
            <w:pPr>
              <w:spacing w:line="240" w:lineRule="auto"/>
              <w:rPr>
                <w:rFonts w:cs="Arial"/>
                <w:szCs w:val="18"/>
                <w:lang w:eastAsia="en-GB"/>
              </w:rPr>
            </w:pPr>
            <w:r w:rsidRPr="00430059">
              <w:rPr>
                <w:rFonts w:cs="Arial"/>
                <w:szCs w:val="18"/>
                <w:lang w:eastAsia="en-GB"/>
              </w:rPr>
              <w:t>829,683</w:t>
            </w:r>
          </w:p>
        </w:tc>
        <w:tc>
          <w:tcPr>
            <w:tcW w:w="1170" w:type="dxa"/>
            <w:tcBorders>
              <w:top w:val="single" w:sz="6" w:space="0" w:color="00B050"/>
              <w:bottom w:val="single" w:sz="12" w:space="0" w:color="00B050"/>
            </w:tcBorders>
            <w:shd w:val="clear" w:color="auto" w:fill="auto"/>
            <w:noWrap/>
            <w:vAlign w:val="center"/>
            <w:hideMark/>
          </w:tcPr>
          <w:p w14:paraId="46FA09B2" w14:textId="77777777" w:rsidR="00BD2018" w:rsidRPr="00430059" w:rsidRDefault="00BD2018" w:rsidP="00AE3FA7">
            <w:pPr>
              <w:spacing w:line="240" w:lineRule="auto"/>
              <w:rPr>
                <w:rFonts w:cs="Arial"/>
                <w:szCs w:val="18"/>
                <w:lang w:eastAsia="en-GB"/>
              </w:rPr>
            </w:pPr>
            <w:r w:rsidRPr="00430059">
              <w:rPr>
                <w:rFonts w:cs="Arial"/>
                <w:szCs w:val="18"/>
              </w:rPr>
              <w:t>696,934</w:t>
            </w:r>
          </w:p>
        </w:tc>
        <w:tc>
          <w:tcPr>
            <w:tcW w:w="1441" w:type="dxa"/>
            <w:tcBorders>
              <w:top w:val="single" w:sz="6" w:space="0" w:color="00B050"/>
              <w:bottom w:val="single" w:sz="12" w:space="0" w:color="00B050"/>
            </w:tcBorders>
            <w:shd w:val="clear" w:color="auto" w:fill="auto"/>
            <w:noWrap/>
            <w:vAlign w:val="center"/>
            <w:hideMark/>
          </w:tcPr>
          <w:p w14:paraId="0152BB06" w14:textId="77777777" w:rsidR="00BD2018" w:rsidRPr="00430059" w:rsidRDefault="00BD2018" w:rsidP="00AE3FA7">
            <w:pPr>
              <w:spacing w:line="240" w:lineRule="auto"/>
              <w:rPr>
                <w:rFonts w:cs="Arial"/>
                <w:szCs w:val="18"/>
                <w:lang w:eastAsia="en-GB"/>
              </w:rPr>
            </w:pPr>
            <w:r w:rsidRPr="00430059">
              <w:rPr>
                <w:rFonts w:cs="Arial"/>
                <w:szCs w:val="18"/>
                <w:lang w:eastAsia="en-GB"/>
              </w:rPr>
              <w:t>49.74</w:t>
            </w:r>
          </w:p>
        </w:tc>
        <w:tc>
          <w:tcPr>
            <w:tcW w:w="1265" w:type="dxa"/>
            <w:tcBorders>
              <w:top w:val="single" w:sz="6" w:space="0" w:color="00B050"/>
              <w:bottom w:val="single" w:sz="12" w:space="0" w:color="00B050"/>
            </w:tcBorders>
            <w:shd w:val="clear" w:color="auto" w:fill="auto"/>
            <w:noWrap/>
            <w:vAlign w:val="center"/>
            <w:hideMark/>
          </w:tcPr>
          <w:p w14:paraId="5DDD81FC" w14:textId="77777777" w:rsidR="00BD2018" w:rsidRPr="00430059" w:rsidRDefault="00BD2018" w:rsidP="00AE3FA7">
            <w:pPr>
              <w:spacing w:line="240" w:lineRule="auto"/>
              <w:rPr>
                <w:rFonts w:cs="Arial"/>
                <w:szCs w:val="18"/>
                <w:lang w:eastAsia="en-GB"/>
              </w:rPr>
            </w:pPr>
            <w:r w:rsidRPr="00430059">
              <w:rPr>
                <w:rFonts w:cs="Arial"/>
                <w:szCs w:val="18"/>
                <w:lang w:eastAsia="en-GB"/>
              </w:rPr>
              <w:t>31.47</w:t>
            </w:r>
          </w:p>
        </w:tc>
        <w:tc>
          <w:tcPr>
            <w:tcW w:w="1078" w:type="dxa"/>
            <w:tcBorders>
              <w:top w:val="single" w:sz="6" w:space="0" w:color="00B050"/>
              <w:bottom w:val="single" w:sz="12" w:space="0" w:color="00B050"/>
            </w:tcBorders>
            <w:shd w:val="clear" w:color="auto" w:fill="auto"/>
            <w:noWrap/>
            <w:vAlign w:val="center"/>
            <w:hideMark/>
          </w:tcPr>
          <w:p w14:paraId="15D09238" w14:textId="77777777" w:rsidR="00BD2018" w:rsidRPr="00430059" w:rsidRDefault="00BD2018" w:rsidP="00AE3FA7">
            <w:pPr>
              <w:spacing w:line="240" w:lineRule="auto"/>
              <w:rPr>
                <w:rFonts w:cs="Arial"/>
                <w:szCs w:val="18"/>
                <w:lang w:eastAsia="en-GB"/>
              </w:rPr>
            </w:pPr>
            <w:r w:rsidRPr="00430059">
              <w:rPr>
                <w:rFonts w:cs="Arial"/>
                <w:szCs w:val="18"/>
              </w:rPr>
              <w:t>346,628</w:t>
            </w:r>
          </w:p>
        </w:tc>
        <w:tc>
          <w:tcPr>
            <w:tcW w:w="1045" w:type="dxa"/>
            <w:tcBorders>
              <w:top w:val="single" w:sz="6" w:space="0" w:color="00B050"/>
              <w:bottom w:val="single" w:sz="12" w:space="0" w:color="00B050"/>
            </w:tcBorders>
            <w:shd w:val="clear" w:color="auto" w:fill="auto"/>
            <w:noWrap/>
            <w:vAlign w:val="center"/>
            <w:hideMark/>
          </w:tcPr>
          <w:p w14:paraId="7D861BF9" w14:textId="77777777" w:rsidR="00BD2018" w:rsidRPr="00430059" w:rsidRDefault="00BD2018" w:rsidP="00AE3FA7">
            <w:pPr>
              <w:spacing w:line="240" w:lineRule="auto"/>
              <w:rPr>
                <w:rFonts w:cs="Arial"/>
                <w:szCs w:val="18"/>
                <w:lang w:eastAsia="en-GB"/>
              </w:rPr>
            </w:pPr>
            <w:r w:rsidRPr="00430059">
              <w:rPr>
                <w:rFonts w:cs="Arial"/>
                <w:szCs w:val="18"/>
              </w:rPr>
              <w:t>219,333</w:t>
            </w:r>
          </w:p>
        </w:tc>
        <w:tc>
          <w:tcPr>
            <w:tcW w:w="935" w:type="dxa"/>
            <w:tcBorders>
              <w:top w:val="single" w:sz="6" w:space="0" w:color="00B050"/>
              <w:bottom w:val="single" w:sz="12" w:space="0" w:color="00B050"/>
            </w:tcBorders>
            <w:shd w:val="clear" w:color="auto" w:fill="auto"/>
            <w:noWrap/>
            <w:vAlign w:val="center"/>
            <w:hideMark/>
          </w:tcPr>
          <w:p w14:paraId="1CEC110D" w14:textId="77777777" w:rsidR="00BD2018" w:rsidRPr="00430059" w:rsidRDefault="00BD2018" w:rsidP="00AE3FA7">
            <w:pPr>
              <w:spacing w:line="240" w:lineRule="auto"/>
              <w:rPr>
                <w:rFonts w:cs="Arial"/>
                <w:szCs w:val="18"/>
                <w:lang w:eastAsia="en-GB"/>
              </w:rPr>
            </w:pPr>
            <w:r w:rsidRPr="00430059">
              <w:rPr>
                <w:rFonts w:cs="Arial"/>
                <w:szCs w:val="18"/>
              </w:rPr>
              <w:t>69.30</w:t>
            </w:r>
          </w:p>
        </w:tc>
        <w:tc>
          <w:tcPr>
            <w:tcW w:w="827" w:type="dxa"/>
            <w:tcBorders>
              <w:top w:val="single" w:sz="6" w:space="0" w:color="00B050"/>
              <w:bottom w:val="single" w:sz="12" w:space="0" w:color="00B050"/>
            </w:tcBorders>
            <w:shd w:val="clear" w:color="auto" w:fill="auto"/>
            <w:noWrap/>
            <w:vAlign w:val="center"/>
            <w:hideMark/>
          </w:tcPr>
          <w:p w14:paraId="2756E149" w14:textId="77777777" w:rsidR="00BD2018" w:rsidRPr="00430059" w:rsidRDefault="00BD2018" w:rsidP="00AE3FA7">
            <w:pPr>
              <w:spacing w:line="240" w:lineRule="auto"/>
              <w:rPr>
                <w:rFonts w:cs="Arial"/>
                <w:szCs w:val="18"/>
                <w:lang w:eastAsia="en-GB"/>
              </w:rPr>
            </w:pPr>
            <w:r w:rsidRPr="00430059">
              <w:rPr>
                <w:rFonts w:cs="Arial"/>
                <w:szCs w:val="18"/>
              </w:rPr>
              <w:t>43.90</w:t>
            </w:r>
          </w:p>
        </w:tc>
      </w:tr>
    </w:tbl>
    <w:p w14:paraId="60AFCA5C" w14:textId="77777777" w:rsidR="00BD2018" w:rsidRPr="00430059" w:rsidRDefault="00BD2018" w:rsidP="00926DA0">
      <w:pPr>
        <w:spacing w:line="240" w:lineRule="auto"/>
        <w:rPr>
          <w:rFonts w:cs="Arial"/>
          <w:szCs w:val="18"/>
          <w:vertAlign w:val="superscript"/>
          <w:lang w:eastAsia="en-GB"/>
        </w:rPr>
      </w:pPr>
      <w:r w:rsidRPr="00430059">
        <w:rPr>
          <w:rFonts w:cs="Arial"/>
          <w:b/>
          <w:bCs/>
          <w:szCs w:val="18"/>
          <w:vertAlign w:val="superscript"/>
          <w:lang w:eastAsia="en-GB"/>
        </w:rPr>
        <w:t>* c</w:t>
      </w:r>
      <w:r w:rsidRPr="00430059">
        <w:rPr>
          <w:rFonts w:cs="Arial"/>
          <w:szCs w:val="18"/>
          <w:vertAlign w:val="superscript"/>
          <w:lang w:eastAsia="en-GB"/>
        </w:rPr>
        <w:t>omprising both biochar and ash</w:t>
      </w:r>
    </w:p>
    <w:p w14:paraId="52F319B7" w14:textId="2299F270" w:rsidR="00BD2018" w:rsidRPr="00430059" w:rsidRDefault="00BD2018" w:rsidP="00926DA0">
      <w:pPr>
        <w:spacing w:line="240" w:lineRule="auto"/>
        <w:rPr>
          <w:rFonts w:cs="Arial"/>
          <w:szCs w:val="18"/>
          <w:vertAlign w:val="superscript"/>
          <w:lang w:eastAsia="en-GB"/>
        </w:rPr>
      </w:pPr>
      <w:r w:rsidRPr="00430059">
        <w:rPr>
          <w:rFonts w:cs="Arial"/>
          <w:szCs w:val="18"/>
          <w:vertAlign w:val="superscript"/>
          <w:lang w:eastAsia="en-GB"/>
        </w:rPr>
        <w:t>* assuming 100</w:t>
      </w:r>
      <w:r w:rsidR="00EE0B89" w:rsidRPr="00430059">
        <w:rPr>
          <w:rFonts w:cs="Arial"/>
          <w:szCs w:val="18"/>
          <w:vertAlign w:val="superscript"/>
          <w:lang w:eastAsia="en-GB"/>
        </w:rPr>
        <w:t xml:space="preserve"> %</w:t>
      </w:r>
      <w:r w:rsidRPr="00430059">
        <w:rPr>
          <w:rFonts w:cs="Arial"/>
          <w:szCs w:val="18"/>
          <w:vertAlign w:val="superscript"/>
          <w:lang w:eastAsia="en-GB"/>
        </w:rPr>
        <w:t xml:space="preserve"> poultry manure collection</w:t>
      </w:r>
    </w:p>
    <w:p w14:paraId="5FB20E01" w14:textId="1E8BB4A4" w:rsidR="00BD2018" w:rsidRPr="00430059" w:rsidRDefault="00BD2018" w:rsidP="00AE3FA7">
      <w:pPr>
        <w:spacing w:before="120"/>
        <w:ind w:firstLine="720"/>
      </w:pPr>
      <w:r w:rsidRPr="00430059">
        <w:t xml:space="preserve">The amount of dry poultry manure available in the country is estimated to be 696,934 </w:t>
      </w:r>
      <w:r w:rsidR="008F2D38" w:rsidRPr="00430059">
        <w:t>t</w:t>
      </w:r>
      <w:r w:rsidRPr="00430059">
        <w:t>/y. The pyrolysis process conducted at 250</w:t>
      </w:r>
      <w:r w:rsidR="00EE0B89" w:rsidRPr="00430059">
        <w:t xml:space="preserve"> °C</w:t>
      </w:r>
      <w:r w:rsidRPr="00430059">
        <w:t xml:space="preserve"> and 500</w:t>
      </w:r>
      <w:r w:rsidR="00EE0B89" w:rsidRPr="00430059">
        <w:t xml:space="preserve"> °C</w:t>
      </w:r>
      <w:r w:rsidRPr="00430059">
        <w:t xml:space="preserve"> is anticipated to generate 346,628 </w:t>
      </w:r>
      <w:r w:rsidR="008F2D38" w:rsidRPr="00430059">
        <w:t>t</w:t>
      </w:r>
      <w:r w:rsidRPr="00430059">
        <w:t xml:space="preserve">/y. and 219,333 </w:t>
      </w:r>
      <w:r w:rsidR="008F2D38" w:rsidRPr="00430059">
        <w:t>t</w:t>
      </w:r>
      <w:r w:rsidRPr="00430059">
        <w:t>/y. respectively. Conducting the pyrolysis process at 250</w:t>
      </w:r>
      <w:r w:rsidR="00EE0B89" w:rsidRPr="00430059">
        <w:t xml:space="preserve"> °C</w:t>
      </w:r>
      <w:r w:rsidRPr="00430059">
        <w:t xml:space="preserve"> will fetch a biochar annual revenue potential of 69.30 </w:t>
      </w:r>
      <w:r w:rsidR="008F2D38" w:rsidRPr="00430059">
        <w:t xml:space="preserve">x </w:t>
      </w:r>
      <w:r w:rsidR="003728E1" w:rsidRPr="00430059">
        <w:t>10</w:t>
      </w:r>
      <w:r w:rsidR="003728E1" w:rsidRPr="00430059">
        <w:rPr>
          <w:vertAlign w:val="superscript"/>
        </w:rPr>
        <w:t>6</w:t>
      </w:r>
      <w:r w:rsidRPr="00430059">
        <w:t xml:space="preserve"> USD while performing the process at 250</w:t>
      </w:r>
      <w:r w:rsidR="00EE0B89" w:rsidRPr="00430059">
        <w:t xml:space="preserve"> °C</w:t>
      </w:r>
      <w:r w:rsidRPr="00430059">
        <w:t xml:space="preserve"> will fetch a </w:t>
      </w:r>
      <w:r w:rsidR="008F2D38" w:rsidRPr="00430059">
        <w:t>b</w:t>
      </w:r>
      <w:r w:rsidRPr="00430059">
        <w:t xml:space="preserve">iochar annual revenue potential of 43.90 </w:t>
      </w:r>
      <w:r w:rsidR="008F2D38" w:rsidRPr="00430059">
        <w:t xml:space="preserve">x </w:t>
      </w:r>
      <w:r w:rsidR="003728E1" w:rsidRPr="00430059">
        <w:t>10</w:t>
      </w:r>
      <w:r w:rsidR="003728E1" w:rsidRPr="00430059">
        <w:rPr>
          <w:vertAlign w:val="superscript"/>
        </w:rPr>
        <w:t>6</w:t>
      </w:r>
      <w:r w:rsidRPr="00430059">
        <w:t xml:space="preserve"> USD. </w:t>
      </w:r>
    </w:p>
    <w:p w14:paraId="4CD02423" w14:textId="0BA13FC7" w:rsidR="00BD2018" w:rsidRPr="00430059" w:rsidRDefault="00BD2018" w:rsidP="00AE3FA7">
      <w:pPr>
        <w:spacing w:before="120"/>
        <w:ind w:firstLine="720"/>
      </w:pPr>
      <w:r w:rsidRPr="00430059">
        <w:t>The projected biochar production quantity and biochar revenue potential is based on only two temperatures- 250</w:t>
      </w:r>
      <w:r w:rsidR="00EE0B89" w:rsidRPr="00430059">
        <w:t xml:space="preserve"> °C</w:t>
      </w:r>
      <w:r w:rsidRPr="00430059">
        <w:t xml:space="preserve"> and 500</w:t>
      </w:r>
      <w:r w:rsidR="00EE0B89" w:rsidRPr="00430059">
        <w:t xml:space="preserve"> °C</w:t>
      </w:r>
      <w:r w:rsidRPr="00430059">
        <w:t xml:space="preserve">. Pyrolysis temperature has a substantial impact on both the quantity and quality of biochar produced. However, other factors such as feedstock type, feedstock size, reactor design, and pyrolysis residence time also influence biochar production and quality. Higher pyrolysis temperatures usually result in lower biochar production, larger </w:t>
      </w:r>
      <w:r w:rsidRPr="00430059">
        <w:rPr>
          <w:szCs w:val="18"/>
        </w:rPr>
        <w:t xml:space="preserve">surface areas, higher ash content, minimal overall surface charge, improved water retention capacity, and elevated pH levels </w:t>
      </w:r>
      <w:r w:rsidR="00055456" w:rsidRPr="00430059">
        <w:rPr>
          <w:rFonts w:cs="Arial"/>
          <w:szCs w:val="18"/>
        </w:rPr>
        <w:fldChar w:fldCharType="begin" w:fldLock="1"/>
      </w:r>
      <w:r w:rsidR="00ED03DB" w:rsidRPr="00430059">
        <w:rPr>
          <w:rFonts w:cs="Arial"/>
          <w:szCs w:val="18"/>
        </w:rPr>
        <w:instrText>ADDIN CSL_CITATION {"citationItems":[{"id":"ITEM-1","itemData":{"DOI":"10.1177/0734242X20978456","ISSN":"10963669","PMID":"33327900","abstract":"The citrus industry is considered one of the main contributors to agricultural waste. Peels are commonly used in the food industry or as feedstock in biorefining. In this study, the potential of waste orange peel biochar for agricultural applications in sandy soil was investigated. This will not only increase the percentage of agricultural waste recycling, but also lead to more sustainable agriculture with environmental benefits such as carbon sequestration. Biochar was produced through slow pyrolysis in the temperature range 300–600°C and at two holding durations (10 min and 60 min). Both factors had a significant impact on the physicochemical characteristics of biochar in the heating region 300–450°C. However, varying the holding time for pyrolysis temperatures beyond 450°C had a diminishing effect on biochar properties compared with the impact of increasing pyrolysis temperature. The study also looked at certain properties that are specific to agricultural application not previously reported for orange peel. Very high cation exchange capacities of 70 cmol kg−1 were achieved at 300°C, whereas water holding capacity was not strongly influenced by pyrolysis conditions. Preliminary planting tests indicate potential for improving agricultural sustainability in sandy soils. The technoeconomic analysis of biochar showed that the pyrolysis process can be profitable with sufficient plant capacity.","author":[{"dropping-particle":"","family":"Abdelaal","given":"Ali","non-dropping-particle":"","parse-names":false,"suffix":""},{"dropping-particle":"","family":"Pradhan","given":"Snigdhendubala","non-dropping-particle":"","parse-names":false,"suffix":""},{"dropping-particle":"","family":"AlNouss","given":"Ahmed","non-dropping-particle":"","parse-names":false,"suffix":""},{"dropping-particle":"","family":"Tong","given":"Yongfeng","non-dropping-particle":"","parse-names":false,"suffix":""},{"dropping-particle":"","family":"Al-Ansari","given":"Tareq","non-dropping-particle":"","parse-names":false,"suffix":""},{"dropping-particle":"","family":"McKay","given":"Gordon","non-dropping-particle":"","parse-names":false,"suffix":""},{"dropping-particle":"","family":"Mackey","given":"Hamish R.","non-dropping-particle":"","parse-names":false,"suffix":""}],"container-title":"Waste Management and Research","id":"ITEM-1","issue":"7","issued":{"date-parts":[["2021","7","1"]]},"page":"995-1004","publisher":"SAGE Publications Ltd","title":"The impact of pyrolysis conditions on orange peel biochar physicochemical properties for sandy soil","type":"article-journal","volume":"39"},"uris":["http://www.mendeley.com/documents/?uuid=b3a5f035-684a-309a-a18d-0655f1745154"]}],"mendeley":{"formattedCitation":"(Abdelaal et al., 2021)","plainTextFormattedCitation":"(Abdelaal et al., 2021)","previouslyFormattedCitation":"(Abdelaal et al., 2021)"},"properties":{"noteIndex":0},"schema":"https://github.com/citation-style-language/schema/raw/master/csl-citation.json"}</w:instrText>
      </w:r>
      <w:r w:rsidR="00055456" w:rsidRPr="00430059">
        <w:rPr>
          <w:rFonts w:cs="Arial"/>
          <w:szCs w:val="18"/>
        </w:rPr>
        <w:fldChar w:fldCharType="separate"/>
      </w:r>
      <w:r w:rsidR="00ED03DB" w:rsidRPr="00430059">
        <w:rPr>
          <w:rFonts w:cs="Arial"/>
          <w:noProof/>
          <w:szCs w:val="18"/>
        </w:rPr>
        <w:t>(Abdelaal et al., 2021)</w:t>
      </w:r>
      <w:r w:rsidR="00055456" w:rsidRPr="00430059">
        <w:rPr>
          <w:rFonts w:cs="Arial"/>
          <w:szCs w:val="18"/>
        </w:rPr>
        <w:fldChar w:fldCharType="end"/>
      </w:r>
      <w:r w:rsidRPr="00430059">
        <w:rPr>
          <w:szCs w:val="18"/>
        </w:rPr>
        <w:t>. Also, high pyrolysis temperatures increase carbon composition of biochar and reduces oxygen and hydrogen compositions</w:t>
      </w:r>
      <w:r w:rsidRPr="00430059">
        <w:t xml:space="preserve"> of biochar. However, pyrolysis experiments do need to be performed at high temperatures as moderate temperatures may well be sufficient to produce good quality biochar that can be applied for soil conditioning and carbon storage. Therefore, it is recommended to initiate tests for biochar production through pyrolysis at lower temperatures.</w:t>
      </w:r>
    </w:p>
    <w:p w14:paraId="37160021" w14:textId="77777777" w:rsidR="00BD2018" w:rsidRPr="00430059" w:rsidRDefault="00BD2018" w:rsidP="00AE3FA7">
      <w:pPr>
        <w:pStyle w:val="CETHeading1"/>
        <w:rPr>
          <w:lang w:val="en-GB"/>
        </w:rPr>
      </w:pPr>
      <w:r w:rsidRPr="00430059">
        <w:rPr>
          <w:lang w:val="en-GB"/>
        </w:rPr>
        <w:lastRenderedPageBreak/>
        <w:t>Conclusions</w:t>
      </w:r>
    </w:p>
    <w:p w14:paraId="52C7100E" w14:textId="6D057AC1" w:rsidR="00BD2018" w:rsidRPr="00430059" w:rsidRDefault="00BD2018" w:rsidP="00AE3FA7">
      <w:pPr>
        <w:pStyle w:val="ListParagraph"/>
        <w:spacing w:before="120"/>
        <w:ind w:left="0"/>
      </w:pPr>
      <w:r w:rsidRPr="00430059">
        <w:t>Qatar generates around 0.83</w:t>
      </w:r>
      <w:r w:rsidR="003728E1" w:rsidRPr="00430059">
        <w:t xml:space="preserve"> x </w:t>
      </w:r>
      <w:r w:rsidR="003728E1" w:rsidRPr="00430059">
        <w:t>10</w:t>
      </w:r>
      <w:r w:rsidR="003728E1" w:rsidRPr="00430059">
        <w:rPr>
          <w:vertAlign w:val="superscript"/>
        </w:rPr>
        <w:t>6</w:t>
      </w:r>
      <w:r w:rsidR="003728E1" w:rsidRPr="00430059">
        <w:rPr>
          <w:rFonts w:cs="Arial"/>
          <w:szCs w:val="18"/>
          <w:lang w:eastAsia="en-GB"/>
        </w:rPr>
        <w:t xml:space="preserve"> </w:t>
      </w:r>
      <w:r w:rsidR="003728E1" w:rsidRPr="00430059">
        <w:t>t</w:t>
      </w:r>
      <w:r w:rsidRPr="00430059">
        <w:t xml:space="preserve"> of poultry litter each year. Therefore, a more sustainable waste treatment approach is required for managing it. Hence, this study's principal objective is to investigate the suitability of poultry litter as a feedstock for pyrolysis, with a specific emphasis on its potential for biochar generation. The potential for biochar formation from poultry litter was assessed using empirical equations at two different pyrolysis temperatures, namely 250</w:t>
      </w:r>
      <w:r w:rsidR="00EE0B89" w:rsidRPr="00430059">
        <w:t xml:space="preserve"> °C</w:t>
      </w:r>
      <w:r w:rsidRPr="00430059">
        <w:t xml:space="preserve"> and 500</w:t>
      </w:r>
      <w:r w:rsidR="00EE0B89" w:rsidRPr="00430059">
        <w:t xml:space="preserve"> °C</w:t>
      </w:r>
      <w:r w:rsidRPr="00430059">
        <w:t>. Additionally, an economic analysis was conducted in order to ascertain the potential revenue generated by biochar derived from poultry litter. According to the findings of the technical analysis, biochar yields of up to 50</w:t>
      </w:r>
      <w:r w:rsidR="00EE0B89" w:rsidRPr="00430059">
        <w:t xml:space="preserve"> %</w:t>
      </w:r>
      <w:r w:rsidRPr="00430059">
        <w:t xml:space="preserve"> and 31</w:t>
      </w:r>
      <w:r w:rsidR="00EE0B89" w:rsidRPr="00430059">
        <w:t xml:space="preserve"> %</w:t>
      </w:r>
      <w:r w:rsidRPr="00430059">
        <w:t xml:space="preserve"> can potentially be achieved at 250</w:t>
      </w:r>
      <w:r w:rsidR="00EE0B89" w:rsidRPr="00430059">
        <w:t xml:space="preserve"> °C</w:t>
      </w:r>
      <w:r w:rsidRPr="00430059">
        <w:t xml:space="preserve"> and 500</w:t>
      </w:r>
      <w:r w:rsidR="00EE0B89" w:rsidRPr="00430059">
        <w:t xml:space="preserve"> °C</w:t>
      </w:r>
      <w:r w:rsidRPr="00430059">
        <w:t xml:space="preserve">, respectively. Moreover, the findings of the study indicate that Qatar has the capacity to generate up to 0.34 </w:t>
      </w:r>
      <w:r w:rsidR="003728E1" w:rsidRPr="00430059">
        <w:t>x 10</w:t>
      </w:r>
      <w:r w:rsidR="003728E1" w:rsidRPr="00430059">
        <w:rPr>
          <w:vertAlign w:val="superscript"/>
        </w:rPr>
        <w:t>6</w:t>
      </w:r>
      <w:r w:rsidR="003728E1" w:rsidRPr="00430059">
        <w:rPr>
          <w:rFonts w:cs="Arial"/>
          <w:szCs w:val="18"/>
          <w:lang w:eastAsia="en-GB"/>
        </w:rPr>
        <w:t xml:space="preserve"> </w:t>
      </w:r>
      <w:r w:rsidR="003728E1" w:rsidRPr="00430059">
        <w:rPr>
          <w:rFonts w:cs="Arial"/>
          <w:szCs w:val="18"/>
          <w:lang w:eastAsia="en-GB"/>
        </w:rPr>
        <w:t>t</w:t>
      </w:r>
      <w:r w:rsidRPr="00430059">
        <w:t xml:space="preserve"> of biochar annually from its poultry litter.</w:t>
      </w:r>
      <w:r w:rsidR="002143FD" w:rsidRPr="00430059">
        <w:t xml:space="preserve"> </w:t>
      </w:r>
      <w:r w:rsidRPr="00430059">
        <w:t>The economic analysis indicates that both the processes offer a biochar MSP lower than the market price of biochar (0.2 USD/kg). Furthermore, the analysis indicates that operating the pyrolysis process at 500</w:t>
      </w:r>
      <w:r w:rsidR="00EE0B89" w:rsidRPr="00430059">
        <w:t xml:space="preserve"> °C</w:t>
      </w:r>
      <w:r w:rsidRPr="00430059">
        <w:t xml:space="preserve"> helps to achieve a better profitability than operating the process at 250</w:t>
      </w:r>
      <w:r w:rsidR="00EE0B89" w:rsidRPr="00430059">
        <w:t xml:space="preserve"> °C</w:t>
      </w:r>
      <w:r w:rsidRPr="00430059">
        <w:t xml:space="preserve">. It also suggests that the country </w:t>
      </w:r>
      <w:r w:rsidR="008F2D38" w:rsidRPr="00430059">
        <w:t>can</w:t>
      </w:r>
      <w:r w:rsidRPr="00430059">
        <w:t xml:space="preserve"> generate annual revenue of about 69 </w:t>
      </w:r>
      <w:r w:rsidR="003728E1" w:rsidRPr="00430059">
        <w:t>x 10</w:t>
      </w:r>
      <w:r w:rsidR="003728E1" w:rsidRPr="00430059">
        <w:rPr>
          <w:vertAlign w:val="superscript"/>
        </w:rPr>
        <w:t>6</w:t>
      </w:r>
      <w:r w:rsidRPr="00430059">
        <w:t xml:space="preserve"> USD from the selling of biochar. The study's findings are expected to enhance future research endeavours and decision-making processes concerning poultry litter waste handling and valorisation.</w:t>
      </w:r>
    </w:p>
    <w:p w14:paraId="07A6D20F" w14:textId="0ECF229E" w:rsidR="00280FAF" w:rsidRPr="00430059" w:rsidRDefault="00280FAF" w:rsidP="00AE3FA7">
      <w:pPr>
        <w:pStyle w:val="CETHeadingxx"/>
        <w:rPr>
          <w:lang w:val="en-GB"/>
        </w:rPr>
        <w:sectPr w:rsidR="00280FAF" w:rsidRPr="00430059" w:rsidSect="00700FCE">
          <w:type w:val="continuous"/>
          <w:pgSz w:w="11906" w:h="16838" w:code="9"/>
          <w:pgMar w:top="1701" w:right="1418" w:bottom="1701" w:left="1701" w:header="1701" w:footer="0" w:gutter="0"/>
          <w:cols w:space="708"/>
          <w:formProt w:val="0"/>
          <w:titlePg/>
          <w:docGrid w:linePitch="360"/>
        </w:sectPr>
      </w:pPr>
      <w:r w:rsidRPr="00430059">
        <w:t>Nomenclature</w:t>
      </w:r>
    </w:p>
    <w:p w14:paraId="25D52BD8" w14:textId="613C9425" w:rsidR="00280FAF" w:rsidRPr="00430059" w:rsidRDefault="00280FAF" w:rsidP="00AE3FA7">
      <w:pPr>
        <w:pStyle w:val="CETBodytext"/>
        <w:jc w:val="left"/>
        <w:rPr>
          <w:rFonts w:eastAsia="SimSun"/>
        </w:rPr>
      </w:pPr>
    </w:p>
    <w:p w14:paraId="7DFFBF41" w14:textId="77777777" w:rsidR="00280FAF" w:rsidRPr="00430059" w:rsidRDefault="00280FAF" w:rsidP="00AE3FA7">
      <w:pPr>
        <w:pStyle w:val="CETBodytext"/>
        <w:jc w:val="left"/>
        <w:rPr>
          <w:rFonts w:eastAsia="SimSun"/>
        </w:rPr>
        <w:sectPr w:rsidR="00280FAF" w:rsidRPr="00430059" w:rsidSect="00700FCE">
          <w:type w:val="continuous"/>
          <w:pgSz w:w="11906" w:h="16838" w:code="9"/>
          <w:pgMar w:top="1701" w:right="1418" w:bottom="1701" w:left="1701" w:header="1701" w:footer="0" w:gutter="0"/>
          <w:cols w:space="708"/>
          <w:formProt w:val="0"/>
          <w:titlePg/>
          <w:docGrid w:linePitch="360"/>
        </w:sectPr>
      </w:pPr>
    </w:p>
    <w:p w14:paraId="5563CD05" w14:textId="6DA6B963" w:rsidR="005B3E5A" w:rsidRPr="00430059" w:rsidRDefault="005B3E5A" w:rsidP="00AE3FA7">
      <w:pPr>
        <w:pStyle w:val="CETBodytext"/>
        <w:jc w:val="left"/>
        <w:rPr>
          <w:rFonts w:eastAsia="SimSun"/>
        </w:rPr>
      </w:pPr>
      <w:r w:rsidRPr="00430059">
        <w:rPr>
          <w:rFonts w:eastAsia="SimSun"/>
        </w:rPr>
        <w:t xml:space="preserve">T –Pyrolysis temperature, </w:t>
      </w:r>
      <w:r w:rsidR="00EE0B89" w:rsidRPr="00430059">
        <w:rPr>
          <w:lang w:val="en-GB"/>
        </w:rPr>
        <w:t>°C</w:t>
      </w:r>
    </w:p>
    <w:p w14:paraId="09AAA50D" w14:textId="77777777" w:rsidR="005B3E5A" w:rsidRPr="00430059" w:rsidRDefault="005B3E5A" w:rsidP="00AE3FA7">
      <w:pPr>
        <w:pStyle w:val="CETBodytext"/>
        <w:jc w:val="left"/>
        <w:rPr>
          <w:rFonts w:eastAsia="SimSun"/>
        </w:rPr>
      </w:pPr>
      <w:r w:rsidRPr="00430059">
        <w:rPr>
          <w:rFonts w:eastAsia="SimSun"/>
        </w:rPr>
        <w:t xml:space="preserve">Y </w:t>
      </w:r>
      <w:r w:rsidRPr="00430059">
        <w:rPr>
          <w:rFonts w:eastAsia="SimSun"/>
          <w:vertAlign w:val="subscript"/>
        </w:rPr>
        <w:t>CO,F</w:t>
      </w:r>
      <w:r w:rsidRPr="00430059">
        <w:rPr>
          <w:rFonts w:eastAsia="SimSun"/>
        </w:rPr>
        <w:t xml:space="preserve"> – CO gas yield obtained from the pyrolysis of feed, kg</w:t>
      </w:r>
    </w:p>
    <w:p w14:paraId="4601CC91" w14:textId="77777777" w:rsidR="005B3E5A" w:rsidRPr="00430059" w:rsidRDefault="005B3E5A" w:rsidP="00AE3FA7">
      <w:pPr>
        <w:pStyle w:val="CETBodytext"/>
        <w:jc w:val="left"/>
        <w:rPr>
          <w:rFonts w:eastAsia="SimSun"/>
        </w:rPr>
      </w:pPr>
      <w:r w:rsidRPr="00430059">
        <w:rPr>
          <w:rFonts w:eastAsia="SimSun"/>
        </w:rPr>
        <w:t xml:space="preserve">Y </w:t>
      </w:r>
      <w:r w:rsidRPr="00430059">
        <w:rPr>
          <w:rFonts w:eastAsia="SimSun"/>
          <w:vertAlign w:val="subscript"/>
        </w:rPr>
        <w:t>CO2,F</w:t>
      </w:r>
      <w:r w:rsidRPr="00430059">
        <w:rPr>
          <w:rFonts w:eastAsia="SimSun"/>
        </w:rPr>
        <w:t xml:space="preserve"> – CO</w:t>
      </w:r>
      <w:r w:rsidRPr="00430059">
        <w:rPr>
          <w:rFonts w:eastAsia="SimSun"/>
          <w:vertAlign w:val="subscript"/>
        </w:rPr>
        <w:t>2</w:t>
      </w:r>
      <w:r w:rsidRPr="00430059">
        <w:rPr>
          <w:rFonts w:eastAsia="SimSun"/>
        </w:rPr>
        <w:t xml:space="preserve"> gas yield obtained from the pyrolysis of feed, kg</w:t>
      </w:r>
    </w:p>
    <w:p w14:paraId="4FDF6396" w14:textId="77777777" w:rsidR="005B3E5A" w:rsidRPr="00430059" w:rsidRDefault="005B3E5A" w:rsidP="00AE3FA7">
      <w:pPr>
        <w:pStyle w:val="CETBodytext"/>
        <w:jc w:val="left"/>
        <w:rPr>
          <w:rFonts w:eastAsia="SimSun"/>
        </w:rPr>
      </w:pPr>
      <w:r w:rsidRPr="00430059">
        <w:rPr>
          <w:rFonts w:eastAsia="SimSun"/>
        </w:rPr>
        <w:t xml:space="preserve">Y </w:t>
      </w:r>
      <w:r w:rsidRPr="00430059">
        <w:rPr>
          <w:rFonts w:eastAsia="SimSun"/>
          <w:vertAlign w:val="subscript"/>
        </w:rPr>
        <w:t>CH4,F</w:t>
      </w:r>
      <w:r w:rsidRPr="00430059">
        <w:rPr>
          <w:rFonts w:eastAsia="SimSun"/>
        </w:rPr>
        <w:t xml:space="preserve"> – CH</w:t>
      </w:r>
      <w:r w:rsidRPr="00430059">
        <w:rPr>
          <w:rFonts w:eastAsia="SimSun"/>
          <w:vertAlign w:val="subscript"/>
        </w:rPr>
        <w:t>4</w:t>
      </w:r>
      <w:r w:rsidRPr="00430059">
        <w:rPr>
          <w:rFonts w:eastAsia="SimSun"/>
        </w:rPr>
        <w:t xml:space="preserve"> gas yield obtained from the pyrolysis of feed, kg</w:t>
      </w:r>
    </w:p>
    <w:p w14:paraId="756E927B" w14:textId="77777777" w:rsidR="005B3E5A" w:rsidRPr="00430059" w:rsidRDefault="005B3E5A" w:rsidP="00AE3FA7">
      <w:pPr>
        <w:pStyle w:val="CETBodytext"/>
        <w:jc w:val="left"/>
        <w:rPr>
          <w:rFonts w:eastAsia="SimSun"/>
        </w:rPr>
      </w:pPr>
      <w:r w:rsidRPr="00430059">
        <w:rPr>
          <w:rFonts w:eastAsia="SimSun"/>
        </w:rPr>
        <w:t xml:space="preserve">Y </w:t>
      </w:r>
      <w:r w:rsidRPr="00430059">
        <w:rPr>
          <w:rFonts w:eastAsia="SimSun"/>
          <w:vertAlign w:val="subscript"/>
        </w:rPr>
        <w:t>H2,F</w:t>
      </w:r>
      <w:r w:rsidRPr="00430059">
        <w:rPr>
          <w:rFonts w:eastAsia="SimSun"/>
        </w:rPr>
        <w:t xml:space="preserve"> – H</w:t>
      </w:r>
      <w:r w:rsidRPr="00430059">
        <w:rPr>
          <w:rFonts w:eastAsia="SimSun"/>
          <w:vertAlign w:val="subscript"/>
        </w:rPr>
        <w:t>2</w:t>
      </w:r>
      <w:r w:rsidRPr="00430059">
        <w:rPr>
          <w:rFonts w:eastAsia="SimSun"/>
        </w:rPr>
        <w:t xml:space="preserve"> gas yield obtained from the pyrolysis of feed, kg</w:t>
      </w:r>
    </w:p>
    <w:p w14:paraId="6C7F9759" w14:textId="77777777" w:rsidR="005B3E5A" w:rsidRPr="00430059" w:rsidRDefault="005B3E5A" w:rsidP="00AE3FA7">
      <w:pPr>
        <w:pStyle w:val="CETBodytext"/>
        <w:jc w:val="left"/>
        <w:rPr>
          <w:rFonts w:eastAsia="SimSun"/>
        </w:rPr>
      </w:pPr>
      <w:r w:rsidRPr="00430059">
        <w:rPr>
          <w:rFonts w:eastAsia="SimSun"/>
        </w:rPr>
        <w:t xml:space="preserve">Y </w:t>
      </w:r>
      <w:r w:rsidRPr="00430059">
        <w:rPr>
          <w:rFonts w:eastAsia="SimSun"/>
          <w:vertAlign w:val="subscript"/>
        </w:rPr>
        <w:t>H2O,F</w:t>
      </w:r>
      <w:r w:rsidRPr="00430059">
        <w:rPr>
          <w:rFonts w:eastAsia="SimSun"/>
        </w:rPr>
        <w:t xml:space="preserve"> – Water yield obtained from the pyrolysis of feed, kg</w:t>
      </w:r>
    </w:p>
    <w:p w14:paraId="05CC3BA4" w14:textId="4C6F7B73" w:rsidR="00280FAF" w:rsidRPr="00430059" w:rsidRDefault="002329EF" w:rsidP="00AE3FA7">
      <w:pPr>
        <w:pStyle w:val="CETBodytext"/>
        <w:jc w:val="left"/>
        <w:rPr>
          <w:rFonts w:eastAsia="SimSun"/>
        </w:rPr>
      </w:pPr>
      <w:r w:rsidRPr="00430059">
        <w:rPr>
          <w:rFonts w:eastAsia="SimSun"/>
        </w:rPr>
        <w:t xml:space="preserve">Y </w:t>
      </w:r>
      <w:proofErr w:type="spellStart"/>
      <w:r w:rsidRPr="00430059">
        <w:rPr>
          <w:rFonts w:eastAsia="SimSun"/>
          <w:vertAlign w:val="subscript"/>
        </w:rPr>
        <w:t>tar,F</w:t>
      </w:r>
      <w:proofErr w:type="spellEnd"/>
      <w:r w:rsidR="00280FAF" w:rsidRPr="00430059">
        <w:rPr>
          <w:rFonts w:eastAsia="SimSun"/>
        </w:rPr>
        <w:t xml:space="preserve"> – </w:t>
      </w:r>
      <w:r w:rsidRPr="00430059">
        <w:rPr>
          <w:rFonts w:eastAsia="SimSun"/>
        </w:rPr>
        <w:t>Tar yield obtained from the pyrolysis of feed, kg</w:t>
      </w:r>
    </w:p>
    <w:p w14:paraId="525DC5EF" w14:textId="77777777" w:rsidR="005B3E5A" w:rsidRPr="00430059" w:rsidRDefault="005B3E5A" w:rsidP="00AE3FA7">
      <w:pPr>
        <w:pStyle w:val="CETBodytext"/>
        <w:jc w:val="left"/>
        <w:rPr>
          <w:rFonts w:eastAsia="SimSun"/>
        </w:rPr>
      </w:pPr>
    </w:p>
    <w:p w14:paraId="38BFE636" w14:textId="08CB7945" w:rsidR="005B3E5A" w:rsidRPr="00430059" w:rsidRDefault="005B3E5A" w:rsidP="00AE3FA7">
      <w:pPr>
        <w:pStyle w:val="CETBodytext"/>
        <w:jc w:val="left"/>
        <w:rPr>
          <w:rFonts w:eastAsia="SimSun"/>
        </w:rPr>
        <w:sectPr w:rsidR="005B3E5A" w:rsidRPr="00430059" w:rsidSect="00700FCE">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430059" w:rsidRDefault="00600535" w:rsidP="00AE3FA7">
      <w:pPr>
        <w:pStyle w:val="CETAcknowledgementstitle"/>
      </w:pPr>
      <w:r w:rsidRPr="00430059">
        <w:t>Acknowledgments</w:t>
      </w:r>
    </w:p>
    <w:p w14:paraId="33F8138F" w14:textId="0B93ADE4" w:rsidR="00600535" w:rsidRPr="00430059" w:rsidRDefault="005B3E5A" w:rsidP="00AE3FA7">
      <w:pPr>
        <w:pStyle w:val="CETBodytext"/>
        <w:rPr>
          <w:lang w:val="en-GB"/>
        </w:rPr>
      </w:pPr>
      <w:r w:rsidRPr="00430059">
        <w:rPr>
          <w:lang w:val="en-GB"/>
        </w:rPr>
        <w:t>The authors would like to thank Qatar National Research Fund (QNRF) for their support of this research through NPRP-11S-0117-180328, the Supreme Committee for Delivery and Legacy (SCDL) and Hamad Bin Khalifa University (HBKU) and Qatar Foundation (QF).</w:t>
      </w:r>
    </w:p>
    <w:p w14:paraId="4F1327F8" w14:textId="77777777" w:rsidR="00600535" w:rsidRPr="00430059" w:rsidRDefault="00600535" w:rsidP="00AE3FA7">
      <w:pPr>
        <w:pStyle w:val="CETReference"/>
      </w:pPr>
      <w:r w:rsidRPr="00430059">
        <w:t>References</w:t>
      </w:r>
    </w:p>
    <w:p w14:paraId="1CE844B7" w14:textId="082B536D" w:rsidR="00430059" w:rsidRPr="00430059" w:rsidRDefault="00ED03DB" w:rsidP="00430059">
      <w:pPr>
        <w:widowControl w:val="0"/>
        <w:autoSpaceDE w:val="0"/>
        <w:autoSpaceDN w:val="0"/>
        <w:adjustRightInd w:val="0"/>
        <w:spacing w:line="240" w:lineRule="auto"/>
        <w:ind w:left="480" w:hanging="480"/>
        <w:rPr>
          <w:rFonts w:cs="Arial"/>
          <w:noProof/>
        </w:rPr>
      </w:pPr>
      <w:r w:rsidRPr="00430059">
        <w:fldChar w:fldCharType="begin" w:fldLock="1"/>
      </w:r>
      <w:r w:rsidRPr="00430059">
        <w:instrText xml:space="preserve">ADDIN Mendeley Bibliography CSL_BIBLIOGRAPHY </w:instrText>
      </w:r>
      <w:r w:rsidRPr="00430059">
        <w:fldChar w:fldCharType="separate"/>
      </w:r>
      <w:r w:rsidR="00430059" w:rsidRPr="00430059">
        <w:rPr>
          <w:rFonts w:cs="Arial"/>
          <w:noProof/>
        </w:rPr>
        <w:t>Abdelaal, A., Pradhan, S., AlNouss, A., Tong, Y., Al-Ansari, T., McKay, G., Mackey, H.R., 2021. The impact of pyrolysis conditions on orange peel biochar physicochemical properties for sandy soil. Waste Manag. Res. 39, 995–1004. https://doi.org/10.1177/0734242X20978456</w:t>
      </w:r>
    </w:p>
    <w:p w14:paraId="15A0E199" w14:textId="77777777" w:rsidR="00430059" w:rsidRPr="00430059" w:rsidRDefault="00430059" w:rsidP="00430059">
      <w:pPr>
        <w:widowControl w:val="0"/>
        <w:autoSpaceDE w:val="0"/>
        <w:autoSpaceDN w:val="0"/>
        <w:adjustRightInd w:val="0"/>
        <w:spacing w:line="240" w:lineRule="auto"/>
        <w:ind w:left="480" w:hanging="480"/>
        <w:rPr>
          <w:rFonts w:cs="Arial"/>
          <w:noProof/>
        </w:rPr>
      </w:pPr>
      <w:r w:rsidRPr="00430059">
        <w:rPr>
          <w:rFonts w:cs="Arial"/>
          <w:noProof/>
        </w:rPr>
        <w:t>Barker, J.C., Hodges, S.C., Walls, F.R., 2002. Livestock Manure Production Rates and Nutrient Content.</w:t>
      </w:r>
    </w:p>
    <w:p w14:paraId="57FB5823" w14:textId="77777777" w:rsidR="00430059" w:rsidRPr="00430059" w:rsidRDefault="00430059" w:rsidP="00430059">
      <w:pPr>
        <w:widowControl w:val="0"/>
        <w:autoSpaceDE w:val="0"/>
        <w:autoSpaceDN w:val="0"/>
        <w:adjustRightInd w:val="0"/>
        <w:spacing w:line="240" w:lineRule="auto"/>
        <w:ind w:left="480" w:hanging="480"/>
        <w:rPr>
          <w:rFonts w:cs="Arial"/>
          <w:noProof/>
        </w:rPr>
      </w:pPr>
      <w:r w:rsidRPr="00430059">
        <w:rPr>
          <w:rFonts w:cs="Arial"/>
          <w:noProof/>
        </w:rPr>
        <w:t>Elkhalifa, S., Parthasarathy, P., Mackey, H.R., Al-Ansari, T., Elhassan, O., Mansour, S., McKay, G., 2022. Biochar development from thermal TGA studies of individual food waste vegetables and their blended systems. Biomass Convers. Biorefinery 1, 1–18. https://doi.org/10.1007/S13399-022-02441-0/FIGURES/9</w:t>
      </w:r>
    </w:p>
    <w:p w14:paraId="60712156" w14:textId="77777777" w:rsidR="00430059" w:rsidRPr="00430059" w:rsidRDefault="00430059" w:rsidP="00430059">
      <w:pPr>
        <w:widowControl w:val="0"/>
        <w:autoSpaceDE w:val="0"/>
        <w:autoSpaceDN w:val="0"/>
        <w:adjustRightInd w:val="0"/>
        <w:spacing w:line="240" w:lineRule="auto"/>
        <w:ind w:left="480" w:hanging="480"/>
        <w:rPr>
          <w:rFonts w:cs="Arial"/>
          <w:noProof/>
        </w:rPr>
      </w:pPr>
      <w:r w:rsidRPr="00430059">
        <w:rPr>
          <w:rFonts w:cs="Arial"/>
          <w:noProof/>
        </w:rPr>
        <w:t>Kantarli, I.C., Kabadayi, A., Ucar, S., Yanik, J., 2016. Conversion of poultry wastes into energy feedstocks. Waste Manag. 56, 530–539. https://doi.org/10.1016/J.WASMAN.2016.07.019</w:t>
      </w:r>
    </w:p>
    <w:p w14:paraId="6F18CC49" w14:textId="77777777" w:rsidR="00430059" w:rsidRPr="00430059" w:rsidRDefault="00430059" w:rsidP="00430059">
      <w:pPr>
        <w:widowControl w:val="0"/>
        <w:autoSpaceDE w:val="0"/>
        <w:autoSpaceDN w:val="0"/>
        <w:adjustRightInd w:val="0"/>
        <w:spacing w:line="240" w:lineRule="auto"/>
        <w:ind w:left="480" w:hanging="480"/>
        <w:rPr>
          <w:rFonts w:cs="Arial"/>
          <w:noProof/>
        </w:rPr>
      </w:pPr>
      <w:r w:rsidRPr="00430059">
        <w:rPr>
          <w:rFonts w:cs="Arial"/>
          <w:noProof/>
        </w:rPr>
        <w:t>Neves, D., Thunman, H., Matos, A., Tarelho, L., Gómez-Barea, A., 2011. Characterization and prediction of biomass pyrolysis products. Prog. Energy Combust. Sci. 37, 611–630. https://doi.org/10.1016/J.PECS.2011.01.001</w:t>
      </w:r>
    </w:p>
    <w:p w14:paraId="256209E0" w14:textId="77777777" w:rsidR="00430059" w:rsidRPr="00430059" w:rsidRDefault="00430059" w:rsidP="00430059">
      <w:pPr>
        <w:widowControl w:val="0"/>
        <w:autoSpaceDE w:val="0"/>
        <w:autoSpaceDN w:val="0"/>
        <w:adjustRightInd w:val="0"/>
        <w:spacing w:line="240" w:lineRule="auto"/>
        <w:ind w:left="480" w:hanging="480"/>
        <w:rPr>
          <w:rFonts w:cs="Arial"/>
          <w:noProof/>
        </w:rPr>
      </w:pPr>
      <w:r w:rsidRPr="00430059">
        <w:rPr>
          <w:rFonts w:cs="Arial"/>
          <w:noProof/>
        </w:rPr>
        <w:t>Parthasarathy, P., Alherbawi, M., Pradhan, S., McKay, G., Al-Ansari, T., 2023a. Pyrolysis of livestock manures: Optimal operating conditions and feedstock blending ratios. Comput. Aided Chem. Eng. 52, 2297–2302. https://doi.org/10.1016/B978-0-443-15274-0.50366-8</w:t>
      </w:r>
    </w:p>
    <w:p w14:paraId="3D21ABDE" w14:textId="77777777" w:rsidR="00430059" w:rsidRPr="00430059" w:rsidRDefault="00430059" w:rsidP="00430059">
      <w:pPr>
        <w:widowControl w:val="0"/>
        <w:autoSpaceDE w:val="0"/>
        <w:autoSpaceDN w:val="0"/>
        <w:adjustRightInd w:val="0"/>
        <w:spacing w:line="240" w:lineRule="auto"/>
        <w:ind w:left="480" w:hanging="480"/>
        <w:rPr>
          <w:rFonts w:cs="Arial"/>
          <w:noProof/>
        </w:rPr>
      </w:pPr>
      <w:r w:rsidRPr="00430059">
        <w:rPr>
          <w:rFonts w:cs="Arial"/>
          <w:noProof/>
        </w:rPr>
        <w:t>Parthasarathy, P., Alherbawi, M., Shahbaz, M., Al-Ansari, T., McKay, G., 2023b. Developing biochar from potential wastes in Qatar and its revenue potential. Energy Convers. Manag. X 20, 100467. https://doi.org/10.1016/J.ECMX.2023.100467</w:t>
      </w:r>
    </w:p>
    <w:p w14:paraId="4FCB4727" w14:textId="77777777" w:rsidR="00430059" w:rsidRPr="00430059" w:rsidRDefault="00430059" w:rsidP="00430059">
      <w:pPr>
        <w:widowControl w:val="0"/>
        <w:autoSpaceDE w:val="0"/>
        <w:autoSpaceDN w:val="0"/>
        <w:adjustRightInd w:val="0"/>
        <w:spacing w:line="240" w:lineRule="auto"/>
        <w:ind w:left="480" w:hanging="480"/>
        <w:rPr>
          <w:rFonts w:cs="Arial"/>
          <w:noProof/>
        </w:rPr>
      </w:pPr>
      <w:r w:rsidRPr="00430059">
        <w:rPr>
          <w:rFonts w:cs="Arial"/>
          <w:noProof/>
        </w:rPr>
        <w:t>Planning and Statistics Authority (PSA), 2021. Agriculture Statistics. Doha, Qatar.</w:t>
      </w:r>
    </w:p>
    <w:p w14:paraId="44758566" w14:textId="77777777" w:rsidR="00430059" w:rsidRPr="00430059" w:rsidRDefault="00430059" w:rsidP="00430059">
      <w:pPr>
        <w:widowControl w:val="0"/>
        <w:autoSpaceDE w:val="0"/>
        <w:autoSpaceDN w:val="0"/>
        <w:adjustRightInd w:val="0"/>
        <w:spacing w:line="240" w:lineRule="auto"/>
        <w:ind w:left="480" w:hanging="480"/>
        <w:rPr>
          <w:rFonts w:cs="Arial"/>
          <w:noProof/>
        </w:rPr>
      </w:pPr>
      <w:r w:rsidRPr="00430059">
        <w:rPr>
          <w:rFonts w:cs="Arial"/>
          <w:noProof/>
        </w:rPr>
        <w:t>Song, B., 2016. Biomass pyrolysis for biochar production: kinetics, energetics and economics. Biochar 227–238.</w:t>
      </w:r>
    </w:p>
    <w:p w14:paraId="6B8B78E9" w14:textId="77777777" w:rsidR="00430059" w:rsidRPr="00430059" w:rsidRDefault="00430059" w:rsidP="00430059">
      <w:pPr>
        <w:widowControl w:val="0"/>
        <w:autoSpaceDE w:val="0"/>
        <w:autoSpaceDN w:val="0"/>
        <w:adjustRightInd w:val="0"/>
        <w:spacing w:line="240" w:lineRule="auto"/>
        <w:ind w:left="480" w:hanging="480"/>
        <w:rPr>
          <w:rFonts w:cs="Arial"/>
          <w:noProof/>
        </w:rPr>
      </w:pPr>
      <w:r w:rsidRPr="00430059">
        <w:rPr>
          <w:rFonts w:cs="Arial"/>
          <w:noProof/>
        </w:rPr>
        <w:t>Swagathnath, G., Rangabhashiyam, S., Parthsarathi, K., Murugan, S., Balasubramanian, P., 2019. Modeling Biochar Yield and Syngas Production During the Pyrolysis of Agro-Residues, in: H, D., Pillai RG, Tharian MG, M.A. (Eds.), Green Buildings and Sustainable Engineering: Proceedings of GBSE 2018. Singapore, pp. 325–336. https://doi.org/10.1007/978-981-13-1202-1_28</w:t>
      </w:r>
    </w:p>
    <w:p w14:paraId="448ED2DC" w14:textId="1EFA118B" w:rsidR="00ED03DB" w:rsidRPr="00430059" w:rsidRDefault="00ED03DB" w:rsidP="00AE3FA7">
      <w:pPr>
        <w:pStyle w:val="CETReference"/>
        <w:spacing w:before="0" w:after="0"/>
        <w:jc w:val="both"/>
      </w:pPr>
      <w:r w:rsidRPr="00430059">
        <w:fldChar w:fldCharType="end"/>
      </w:r>
    </w:p>
    <w:sectPr w:rsidR="00ED03DB" w:rsidRPr="00430059" w:rsidSect="00700FC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9304" w14:textId="77777777" w:rsidR="00700FCE" w:rsidRDefault="00700FCE" w:rsidP="004F5E36">
      <w:r>
        <w:separator/>
      </w:r>
    </w:p>
  </w:endnote>
  <w:endnote w:type="continuationSeparator" w:id="0">
    <w:p w14:paraId="2B23887A" w14:textId="77777777" w:rsidR="00700FCE" w:rsidRDefault="00700FC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20D0" w14:textId="77777777" w:rsidR="00700FCE" w:rsidRDefault="00700FCE" w:rsidP="004F5E36">
      <w:r>
        <w:separator/>
      </w:r>
    </w:p>
  </w:footnote>
  <w:footnote w:type="continuationSeparator" w:id="0">
    <w:p w14:paraId="43532DE5" w14:textId="77777777" w:rsidR="00700FCE" w:rsidRDefault="00700FC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D0386"/>
    <w:multiLevelType w:val="hybridMultilevel"/>
    <w:tmpl w:val="15BC1220"/>
    <w:lvl w:ilvl="0" w:tplc="60D401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E95C67"/>
    <w:multiLevelType w:val="hybridMultilevel"/>
    <w:tmpl w:val="36CA67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BB7419"/>
    <w:multiLevelType w:val="hybridMultilevel"/>
    <w:tmpl w:val="7C207E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160AE"/>
    <w:multiLevelType w:val="hybridMultilevel"/>
    <w:tmpl w:val="340E73C2"/>
    <w:lvl w:ilvl="0" w:tplc="6720D5C2">
      <w:start w:val="1"/>
      <w:numFmt w:val="lowerRoman"/>
      <w:lvlText w:val="(%1)"/>
      <w:lvlJc w:val="left"/>
      <w:pPr>
        <w:ind w:left="1476" w:hanging="111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1433549001">
    <w:abstractNumId w:val="10"/>
  </w:num>
  <w:num w:numId="24" w16cid:durableId="474563861">
    <w:abstractNumId w:val="23"/>
  </w:num>
  <w:num w:numId="25" w16cid:durableId="1711302698">
    <w:abstractNumId w:val="20"/>
  </w:num>
  <w:num w:numId="26" w16cid:durableId="16493589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41A2"/>
    <w:rsid w:val="0003148D"/>
    <w:rsid w:val="00031EEC"/>
    <w:rsid w:val="00051566"/>
    <w:rsid w:val="000541E0"/>
    <w:rsid w:val="00055456"/>
    <w:rsid w:val="000562A9"/>
    <w:rsid w:val="00062A9A"/>
    <w:rsid w:val="00065058"/>
    <w:rsid w:val="00086C39"/>
    <w:rsid w:val="000A03B2"/>
    <w:rsid w:val="000B6A4F"/>
    <w:rsid w:val="000D0268"/>
    <w:rsid w:val="000D34BE"/>
    <w:rsid w:val="000E102F"/>
    <w:rsid w:val="000E36F1"/>
    <w:rsid w:val="000E3A73"/>
    <w:rsid w:val="000E414A"/>
    <w:rsid w:val="000F093C"/>
    <w:rsid w:val="000F787B"/>
    <w:rsid w:val="00102E9C"/>
    <w:rsid w:val="0012091F"/>
    <w:rsid w:val="00126BC2"/>
    <w:rsid w:val="001308B6"/>
    <w:rsid w:val="0013121F"/>
    <w:rsid w:val="00131FE6"/>
    <w:rsid w:val="0013263F"/>
    <w:rsid w:val="001331DF"/>
    <w:rsid w:val="00134DE4"/>
    <w:rsid w:val="0014034D"/>
    <w:rsid w:val="00144D16"/>
    <w:rsid w:val="00150E59"/>
    <w:rsid w:val="00152DE3"/>
    <w:rsid w:val="00156F74"/>
    <w:rsid w:val="00164CF9"/>
    <w:rsid w:val="001667A6"/>
    <w:rsid w:val="001822E3"/>
    <w:rsid w:val="00184AD6"/>
    <w:rsid w:val="001A4AF7"/>
    <w:rsid w:val="001B0349"/>
    <w:rsid w:val="001B1E93"/>
    <w:rsid w:val="001B65C1"/>
    <w:rsid w:val="001C684B"/>
    <w:rsid w:val="001D0CFB"/>
    <w:rsid w:val="001D21AF"/>
    <w:rsid w:val="001D53FC"/>
    <w:rsid w:val="001F42A5"/>
    <w:rsid w:val="001F7B9D"/>
    <w:rsid w:val="00201C93"/>
    <w:rsid w:val="002143FD"/>
    <w:rsid w:val="002224B4"/>
    <w:rsid w:val="002329EF"/>
    <w:rsid w:val="00235AF7"/>
    <w:rsid w:val="002447EF"/>
    <w:rsid w:val="00251550"/>
    <w:rsid w:val="00263B05"/>
    <w:rsid w:val="0027221A"/>
    <w:rsid w:val="00275B61"/>
    <w:rsid w:val="00280FAF"/>
    <w:rsid w:val="00282656"/>
    <w:rsid w:val="00296B83"/>
    <w:rsid w:val="002B2865"/>
    <w:rsid w:val="002B4015"/>
    <w:rsid w:val="002B78CE"/>
    <w:rsid w:val="002C2FB6"/>
    <w:rsid w:val="002D0F6D"/>
    <w:rsid w:val="002E5FA7"/>
    <w:rsid w:val="002F3309"/>
    <w:rsid w:val="003008CE"/>
    <w:rsid w:val="003009B7"/>
    <w:rsid w:val="00300E56"/>
    <w:rsid w:val="0030152C"/>
    <w:rsid w:val="0030469C"/>
    <w:rsid w:val="00312F1A"/>
    <w:rsid w:val="00321CA6"/>
    <w:rsid w:val="00323763"/>
    <w:rsid w:val="00323C5F"/>
    <w:rsid w:val="00334C09"/>
    <w:rsid w:val="003520AC"/>
    <w:rsid w:val="003723D4"/>
    <w:rsid w:val="003728E1"/>
    <w:rsid w:val="00381905"/>
    <w:rsid w:val="00384CC8"/>
    <w:rsid w:val="003871FD"/>
    <w:rsid w:val="003A1E30"/>
    <w:rsid w:val="003A2829"/>
    <w:rsid w:val="003A6FC6"/>
    <w:rsid w:val="003A7D1C"/>
    <w:rsid w:val="003B304B"/>
    <w:rsid w:val="003B3146"/>
    <w:rsid w:val="003D07D7"/>
    <w:rsid w:val="003D13B2"/>
    <w:rsid w:val="003F015E"/>
    <w:rsid w:val="00400414"/>
    <w:rsid w:val="0041446B"/>
    <w:rsid w:val="00430059"/>
    <w:rsid w:val="0044071E"/>
    <w:rsid w:val="0044329C"/>
    <w:rsid w:val="00453E24"/>
    <w:rsid w:val="00457456"/>
    <w:rsid w:val="004577FE"/>
    <w:rsid w:val="00457B9C"/>
    <w:rsid w:val="0046164A"/>
    <w:rsid w:val="004628D2"/>
    <w:rsid w:val="00462DCD"/>
    <w:rsid w:val="004648AD"/>
    <w:rsid w:val="004703A9"/>
    <w:rsid w:val="004760DE"/>
    <w:rsid w:val="004761E9"/>
    <w:rsid w:val="004763D7"/>
    <w:rsid w:val="00494EA3"/>
    <w:rsid w:val="004A004E"/>
    <w:rsid w:val="004A24CF"/>
    <w:rsid w:val="004C3D1D"/>
    <w:rsid w:val="004C3D84"/>
    <w:rsid w:val="004C7913"/>
    <w:rsid w:val="004E4DD6"/>
    <w:rsid w:val="004F5E36"/>
    <w:rsid w:val="00507B47"/>
    <w:rsid w:val="00507BEF"/>
    <w:rsid w:val="00507CC9"/>
    <w:rsid w:val="005119A5"/>
    <w:rsid w:val="00516AAC"/>
    <w:rsid w:val="005278B7"/>
    <w:rsid w:val="00532016"/>
    <w:rsid w:val="005346C8"/>
    <w:rsid w:val="00543E7D"/>
    <w:rsid w:val="00547A68"/>
    <w:rsid w:val="005531C9"/>
    <w:rsid w:val="00566502"/>
    <w:rsid w:val="00570C43"/>
    <w:rsid w:val="00575BDA"/>
    <w:rsid w:val="005B2110"/>
    <w:rsid w:val="005B3E5A"/>
    <w:rsid w:val="005B61E6"/>
    <w:rsid w:val="005C77E1"/>
    <w:rsid w:val="005D668A"/>
    <w:rsid w:val="005D6A2F"/>
    <w:rsid w:val="005E1A82"/>
    <w:rsid w:val="005E794C"/>
    <w:rsid w:val="005F0A28"/>
    <w:rsid w:val="005F0E5E"/>
    <w:rsid w:val="005F57BD"/>
    <w:rsid w:val="00600535"/>
    <w:rsid w:val="00603AB7"/>
    <w:rsid w:val="00610CD6"/>
    <w:rsid w:val="00620DEE"/>
    <w:rsid w:val="00621F92"/>
    <w:rsid w:val="0062280A"/>
    <w:rsid w:val="00625639"/>
    <w:rsid w:val="00631B33"/>
    <w:rsid w:val="0064184D"/>
    <w:rsid w:val="006422CC"/>
    <w:rsid w:val="00660E3E"/>
    <w:rsid w:val="00662E74"/>
    <w:rsid w:val="00680C23"/>
    <w:rsid w:val="00693766"/>
    <w:rsid w:val="006A23E9"/>
    <w:rsid w:val="006A3281"/>
    <w:rsid w:val="006B4888"/>
    <w:rsid w:val="006C2E45"/>
    <w:rsid w:val="006C359C"/>
    <w:rsid w:val="006C5579"/>
    <w:rsid w:val="006D6E8B"/>
    <w:rsid w:val="006E737D"/>
    <w:rsid w:val="00700FCE"/>
    <w:rsid w:val="00713973"/>
    <w:rsid w:val="00720A24"/>
    <w:rsid w:val="00732386"/>
    <w:rsid w:val="0073514D"/>
    <w:rsid w:val="007447F3"/>
    <w:rsid w:val="0075499F"/>
    <w:rsid w:val="007661C8"/>
    <w:rsid w:val="0077098D"/>
    <w:rsid w:val="007931FA"/>
    <w:rsid w:val="00797C5E"/>
    <w:rsid w:val="007A4861"/>
    <w:rsid w:val="007A7BBA"/>
    <w:rsid w:val="007B0C50"/>
    <w:rsid w:val="007B208C"/>
    <w:rsid w:val="007B35E5"/>
    <w:rsid w:val="007B48F9"/>
    <w:rsid w:val="007C1A43"/>
    <w:rsid w:val="007D0951"/>
    <w:rsid w:val="007F66C1"/>
    <w:rsid w:val="0080013E"/>
    <w:rsid w:val="00813288"/>
    <w:rsid w:val="008168FC"/>
    <w:rsid w:val="00830996"/>
    <w:rsid w:val="008345F1"/>
    <w:rsid w:val="00843EAC"/>
    <w:rsid w:val="00865B07"/>
    <w:rsid w:val="008667EA"/>
    <w:rsid w:val="0087637F"/>
    <w:rsid w:val="00892AD5"/>
    <w:rsid w:val="008A1512"/>
    <w:rsid w:val="008B7C03"/>
    <w:rsid w:val="008C66A6"/>
    <w:rsid w:val="008D32B9"/>
    <w:rsid w:val="008D433B"/>
    <w:rsid w:val="008D4A16"/>
    <w:rsid w:val="008E54E9"/>
    <w:rsid w:val="008E566E"/>
    <w:rsid w:val="008F2D38"/>
    <w:rsid w:val="0090161A"/>
    <w:rsid w:val="00901EB6"/>
    <w:rsid w:val="00902EDA"/>
    <w:rsid w:val="00904C62"/>
    <w:rsid w:val="00922BA8"/>
    <w:rsid w:val="00924DAC"/>
    <w:rsid w:val="00926DA0"/>
    <w:rsid w:val="00927058"/>
    <w:rsid w:val="00942750"/>
    <w:rsid w:val="009450CE"/>
    <w:rsid w:val="009459BB"/>
    <w:rsid w:val="00947179"/>
    <w:rsid w:val="0095164B"/>
    <w:rsid w:val="00954090"/>
    <w:rsid w:val="0095548E"/>
    <w:rsid w:val="009573E7"/>
    <w:rsid w:val="0096178A"/>
    <w:rsid w:val="00963E05"/>
    <w:rsid w:val="00964A45"/>
    <w:rsid w:val="00967843"/>
    <w:rsid w:val="00967D54"/>
    <w:rsid w:val="00971028"/>
    <w:rsid w:val="00975CF1"/>
    <w:rsid w:val="00993B84"/>
    <w:rsid w:val="00996483"/>
    <w:rsid w:val="00996F5A"/>
    <w:rsid w:val="009B041A"/>
    <w:rsid w:val="009C37C3"/>
    <w:rsid w:val="009C7C86"/>
    <w:rsid w:val="009D2FF7"/>
    <w:rsid w:val="009E7884"/>
    <w:rsid w:val="009E788A"/>
    <w:rsid w:val="009F0E08"/>
    <w:rsid w:val="00A11E9C"/>
    <w:rsid w:val="00A1763D"/>
    <w:rsid w:val="00A17CEC"/>
    <w:rsid w:val="00A2288F"/>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E3FA7"/>
    <w:rsid w:val="00AF0EBA"/>
    <w:rsid w:val="00B02C8A"/>
    <w:rsid w:val="00B15EBF"/>
    <w:rsid w:val="00B17FBD"/>
    <w:rsid w:val="00B25686"/>
    <w:rsid w:val="00B315A6"/>
    <w:rsid w:val="00B31813"/>
    <w:rsid w:val="00B33365"/>
    <w:rsid w:val="00B57B36"/>
    <w:rsid w:val="00B57E6F"/>
    <w:rsid w:val="00B8686D"/>
    <w:rsid w:val="00B93F69"/>
    <w:rsid w:val="00BB1DDC"/>
    <w:rsid w:val="00BC30C9"/>
    <w:rsid w:val="00BD077D"/>
    <w:rsid w:val="00BD2018"/>
    <w:rsid w:val="00BE3E58"/>
    <w:rsid w:val="00C01616"/>
    <w:rsid w:val="00C0162B"/>
    <w:rsid w:val="00C068ED"/>
    <w:rsid w:val="00C22E0C"/>
    <w:rsid w:val="00C345B1"/>
    <w:rsid w:val="00C40142"/>
    <w:rsid w:val="00C4165A"/>
    <w:rsid w:val="00C52C3C"/>
    <w:rsid w:val="00C57182"/>
    <w:rsid w:val="00C5751C"/>
    <w:rsid w:val="00C57863"/>
    <w:rsid w:val="00C640AF"/>
    <w:rsid w:val="00C655FD"/>
    <w:rsid w:val="00C71201"/>
    <w:rsid w:val="00C72BF2"/>
    <w:rsid w:val="00C75407"/>
    <w:rsid w:val="00C870A8"/>
    <w:rsid w:val="00C94434"/>
    <w:rsid w:val="00CA0D4A"/>
    <w:rsid w:val="00CA0D75"/>
    <w:rsid w:val="00CA1C95"/>
    <w:rsid w:val="00CA5A9C"/>
    <w:rsid w:val="00CC4C20"/>
    <w:rsid w:val="00CD3208"/>
    <w:rsid w:val="00CD3517"/>
    <w:rsid w:val="00CD5FE2"/>
    <w:rsid w:val="00CE7C68"/>
    <w:rsid w:val="00D02B4C"/>
    <w:rsid w:val="00D040C4"/>
    <w:rsid w:val="00D20AD1"/>
    <w:rsid w:val="00D46B7E"/>
    <w:rsid w:val="00D57C84"/>
    <w:rsid w:val="00D6057D"/>
    <w:rsid w:val="00D62026"/>
    <w:rsid w:val="00D648EC"/>
    <w:rsid w:val="00D71640"/>
    <w:rsid w:val="00D836C5"/>
    <w:rsid w:val="00D84576"/>
    <w:rsid w:val="00DA1399"/>
    <w:rsid w:val="00DA24C6"/>
    <w:rsid w:val="00DA4D7B"/>
    <w:rsid w:val="00DB3233"/>
    <w:rsid w:val="00DB740B"/>
    <w:rsid w:val="00DD271C"/>
    <w:rsid w:val="00DE264A"/>
    <w:rsid w:val="00DF5072"/>
    <w:rsid w:val="00E02D18"/>
    <w:rsid w:val="00E041E7"/>
    <w:rsid w:val="00E23CA1"/>
    <w:rsid w:val="00E33DD7"/>
    <w:rsid w:val="00E409A8"/>
    <w:rsid w:val="00E50C12"/>
    <w:rsid w:val="00E65B91"/>
    <w:rsid w:val="00E7209D"/>
    <w:rsid w:val="00E72291"/>
    <w:rsid w:val="00E72EAD"/>
    <w:rsid w:val="00E77223"/>
    <w:rsid w:val="00E8528B"/>
    <w:rsid w:val="00E85B94"/>
    <w:rsid w:val="00E978D0"/>
    <w:rsid w:val="00EA22DD"/>
    <w:rsid w:val="00EA4613"/>
    <w:rsid w:val="00EA7F91"/>
    <w:rsid w:val="00EB1523"/>
    <w:rsid w:val="00EC0E49"/>
    <w:rsid w:val="00EC101F"/>
    <w:rsid w:val="00EC1D9F"/>
    <w:rsid w:val="00ED03DB"/>
    <w:rsid w:val="00EE0131"/>
    <w:rsid w:val="00EE0B89"/>
    <w:rsid w:val="00EE17B0"/>
    <w:rsid w:val="00EF06D9"/>
    <w:rsid w:val="00F241C8"/>
    <w:rsid w:val="00F3049E"/>
    <w:rsid w:val="00F30C64"/>
    <w:rsid w:val="00F32BA2"/>
    <w:rsid w:val="00F32CDB"/>
    <w:rsid w:val="00F470B1"/>
    <w:rsid w:val="00F565FE"/>
    <w:rsid w:val="00F63A70"/>
    <w:rsid w:val="00F63D8C"/>
    <w:rsid w:val="00F7534E"/>
    <w:rsid w:val="00F93EDF"/>
    <w:rsid w:val="00FA1802"/>
    <w:rsid w:val="00FA21D0"/>
    <w:rsid w:val="00FA5F5F"/>
    <w:rsid w:val="00FB730C"/>
    <w:rsid w:val="00FC2695"/>
    <w:rsid w:val="00FC3E03"/>
    <w:rsid w:val="00FC3FC1"/>
    <w:rsid w:val="00FF113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2DE3E899-7C7B-4103-B856-15782263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235AF7"/>
    <w:rPr>
      <w:color w:val="605E5C"/>
      <w:shd w:val="clear" w:color="auto" w:fill="E1DFDD"/>
    </w:rPr>
  </w:style>
  <w:style w:type="paragraph" w:customStyle="1" w:styleId="Els-body-text">
    <w:name w:val="Els-body-text"/>
    <w:rsid w:val="003D07D7"/>
    <w:pPr>
      <w:spacing w:after="0" w:line="240" w:lineRule="auto"/>
      <w:jc w:val="both"/>
    </w:pPr>
    <w:rPr>
      <w:rFonts w:ascii="Times New Roman" w:eastAsia="Times New Roman" w:hAnsi="Times New Roman" w:cs="Times New Roman"/>
      <w:sz w:val="20"/>
      <w:szCs w:val="20"/>
      <w:lang w:val="en-US"/>
    </w:rPr>
  </w:style>
  <w:style w:type="paragraph" w:customStyle="1" w:styleId="Els-referenceno-number">
    <w:name w:val="Els-reference no-number"/>
    <w:basedOn w:val="Normal"/>
    <w:rsid w:val="003D07D7"/>
    <w:pPr>
      <w:tabs>
        <w:tab w:val="clear" w:pos="7100"/>
      </w:tabs>
      <w:spacing w:line="240" w:lineRule="auto"/>
      <w:ind w:left="240" w:hanging="240"/>
      <w:jc w:val="left"/>
    </w:pPr>
    <w:rPr>
      <w:rFonts w:ascii="Times New Roman" w:hAnsi="Times New Roman"/>
      <w:noProof/>
      <w:lang w:val="en-US"/>
    </w:rPr>
  </w:style>
  <w:style w:type="paragraph" w:customStyle="1" w:styleId="IndexTerms">
    <w:name w:val="IndexTerms"/>
    <w:basedOn w:val="Normal"/>
    <w:next w:val="Normal"/>
    <w:rsid w:val="00BD2018"/>
    <w:pPr>
      <w:tabs>
        <w:tab w:val="clear" w:pos="7100"/>
      </w:tabs>
      <w:autoSpaceDE w:val="0"/>
      <w:autoSpaceDN w:val="0"/>
      <w:spacing w:line="240" w:lineRule="auto"/>
      <w:ind w:firstLine="202"/>
    </w:pPr>
    <w:rPr>
      <w:rFonts w:ascii="Times New Roman" w:eastAsia="PMingLiU" w:hAnsi="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782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ckay@hbku.edu.q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parthasarathy@hbku.edu.q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1.%20Prakash%20Parthasarathy-Folders\10.%20Publications\conference\HBKU\IConBM%202024-Italy\Manuscript\Results%20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09755030621172"/>
          <c:y val="5.589430894308943E-2"/>
          <c:w val="0.84834689413823272"/>
          <c:h val="0.74453980218936044"/>
        </c:manualLayout>
      </c:layout>
      <c:barChart>
        <c:barDir val="col"/>
        <c:grouping val="clustered"/>
        <c:varyColors val="0"/>
        <c:ser>
          <c:idx val="0"/>
          <c:order val="0"/>
          <c:tx>
            <c:strRef>
              <c:f>'IconBM sheet'!$A$6</c:f>
              <c:strCache>
                <c:ptCount val="1"/>
                <c:pt idx="0">
                  <c:v>250°C</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'IconBM sheet'!$B$5:$D$5</c:f>
              <c:strCache>
                <c:ptCount val="3"/>
                <c:pt idx="0">
                  <c:v>Biochar</c:v>
                </c:pt>
                <c:pt idx="1">
                  <c:v>Bio-oil </c:v>
                </c:pt>
                <c:pt idx="2">
                  <c:v>Syngas</c:v>
                </c:pt>
              </c:strCache>
            </c:strRef>
          </c:cat>
          <c:val>
            <c:numRef>
              <c:f>'IconBM sheet'!$B$6:$D$6</c:f>
              <c:numCache>
                <c:formatCode>0.00</c:formatCode>
                <c:ptCount val="3"/>
                <c:pt idx="0">
                  <c:v>49.736170977693</c:v>
                </c:pt>
                <c:pt idx="1">
                  <c:v>50.10898027945332</c:v>
                </c:pt>
                <c:pt idx="2">
                  <c:v>0.15484874285368158</c:v>
                </c:pt>
              </c:numCache>
            </c:numRef>
          </c:val>
          <c:extLst>
            <c:ext xmlns:c16="http://schemas.microsoft.com/office/drawing/2014/chart" uri="{C3380CC4-5D6E-409C-BE32-E72D297353CC}">
              <c16:uniqueId val="{00000000-406D-430C-A6C0-5B274D40181C}"/>
            </c:ext>
          </c:extLst>
        </c:ser>
        <c:ser>
          <c:idx val="1"/>
          <c:order val="1"/>
          <c:tx>
            <c:strRef>
              <c:f>'IconBM sheet'!$A$7</c:f>
              <c:strCache>
                <c:ptCount val="1"/>
                <c:pt idx="0">
                  <c:v>500°C</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'IconBM sheet'!$B$5:$D$5</c:f>
              <c:strCache>
                <c:ptCount val="3"/>
                <c:pt idx="0">
                  <c:v>Biochar</c:v>
                </c:pt>
                <c:pt idx="1">
                  <c:v>Bio-oil </c:v>
                </c:pt>
                <c:pt idx="2">
                  <c:v>Syngas</c:v>
                </c:pt>
              </c:strCache>
            </c:strRef>
          </c:cat>
          <c:val>
            <c:numRef>
              <c:f>'IconBM sheet'!$B$7:$D$7</c:f>
              <c:numCache>
                <c:formatCode>0.00</c:formatCode>
                <c:ptCount val="3"/>
                <c:pt idx="0">
                  <c:v>31.471069674325069</c:v>
                </c:pt>
                <c:pt idx="1">
                  <c:v>61.745847642976081</c:v>
                </c:pt>
                <c:pt idx="2">
                  <c:v>6.7830826826988515</c:v>
                </c:pt>
              </c:numCache>
            </c:numRef>
          </c:val>
          <c:extLst>
            <c:ext xmlns:c16="http://schemas.microsoft.com/office/drawing/2014/chart" uri="{C3380CC4-5D6E-409C-BE32-E72D297353CC}">
              <c16:uniqueId val="{00000001-406D-430C-A6C0-5B274D40181C}"/>
            </c:ext>
          </c:extLst>
        </c:ser>
        <c:dLbls>
          <c:showLegendKey val="0"/>
          <c:showVal val="0"/>
          <c:showCatName val="0"/>
          <c:showSerName val="0"/>
          <c:showPercent val="0"/>
          <c:showBubbleSize val="0"/>
        </c:dLbls>
        <c:gapWidth val="219"/>
        <c:overlap val="-27"/>
        <c:axId val="462423088"/>
        <c:axId val="1576857952"/>
      </c:barChart>
      <c:catAx>
        <c:axId val="46242308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Products yields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76857952"/>
        <c:crosses val="autoZero"/>
        <c:auto val="1"/>
        <c:lblAlgn val="ctr"/>
        <c:lblOffset val="100"/>
        <c:noMultiLvlLbl val="0"/>
      </c:catAx>
      <c:valAx>
        <c:axId val="157685795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Composition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2423088"/>
        <c:crosses val="autoZero"/>
        <c:crossBetween val="between"/>
        <c:majorUnit val="20"/>
      </c:valAx>
      <c:spPr>
        <a:noFill/>
        <a:ln>
          <a:noFill/>
        </a:ln>
        <a:effectLst/>
      </c:spPr>
    </c:plotArea>
    <c:legend>
      <c:legendPos val="b"/>
      <c:layout>
        <c:manualLayout>
          <c:xMode val="edge"/>
          <c:yMode val="edge"/>
          <c:x val="0.75279943132108473"/>
          <c:y val="3.2214727279492386E-2"/>
          <c:w val="0.22773425196850394"/>
          <c:h val="7.31725643432986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6</Pages>
  <Words>6723</Words>
  <Characters>38322</Characters>
  <Application>Microsoft Office Word</Application>
  <DocSecurity>0</DocSecurity>
  <Lines>319</Lines>
  <Paragraphs>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Dr. Prakash Parthasarathy</cp:lastModifiedBy>
  <cp:revision>6</cp:revision>
  <cp:lastPrinted>2015-05-12T18:31:00Z</cp:lastPrinted>
  <dcterms:created xsi:type="dcterms:W3CDTF">2024-03-06T10:45:00Z</dcterms:created>
  <dcterms:modified xsi:type="dcterms:W3CDTF">2024-04-03T18:25:00Z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16899165-3d4c-362e-8159-6fca7de0983d</vt:lpwstr>
  </property>
  <property fmtid="{D5CDD505-2E9C-101B-9397-08002B2CF9AE}" pid="6" name="Mendeley Citation Style_1">
    <vt:lpwstr>http://www.zotero.org/styles/bioresource-technology</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http://www.zotero.org/styles/bioresource-technology</vt:lpwstr>
  </property>
  <property fmtid="{D5CDD505-2E9C-101B-9397-08002B2CF9AE}" pid="14" name="Mendeley Recent Style Name 3_1">
    <vt:lpwstr>Bioresource Technology</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http://www.zotero.org/styles/journal-of-cleaner-production</vt:lpwstr>
  </property>
  <property fmtid="{D5CDD505-2E9C-101B-9397-08002B2CF9AE}" pid="22" name="Mendeley Recent Style Name 7_1">
    <vt:lpwstr>Journal of Cleaner Production</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http://www.zotero.org/styles/process-safety-and-environmental-protection</vt:lpwstr>
  </property>
  <property fmtid="{D5CDD505-2E9C-101B-9397-08002B2CF9AE}" pid="26" name="Mendeley Recent Style Name 9_1">
    <vt:lpwstr>Process Safety and Environmental Protection</vt:lpwstr>
  </property>
</Properties>
</file>